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EA" w:rsidRPr="004C19EA" w:rsidRDefault="00884157" w:rsidP="004C19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19EA">
        <w:rPr>
          <w:rFonts w:ascii="Times New Roman" w:hAnsi="Times New Roman" w:cs="Times New Roman"/>
          <w:b/>
          <w:sz w:val="20"/>
          <w:szCs w:val="20"/>
        </w:rPr>
        <w:t>Informacja dotycząca ubezpieczenia Następstw Nieszczęśliwych Wypadków i Odpowiedzialności Cywilnej Studentów Państwowej Szkoły Wyższej w Białej P</w:t>
      </w:r>
      <w:r w:rsidR="00970076" w:rsidRPr="004C19EA">
        <w:rPr>
          <w:rFonts w:ascii="Times New Roman" w:hAnsi="Times New Roman" w:cs="Times New Roman"/>
          <w:b/>
          <w:sz w:val="20"/>
          <w:szCs w:val="20"/>
        </w:rPr>
        <w:t>odlaskiej na rok akademicki 2016/2017</w:t>
      </w:r>
    </w:p>
    <w:p w:rsidR="00884157" w:rsidRPr="00FF218C" w:rsidRDefault="00884157" w:rsidP="004C19EA">
      <w:pPr>
        <w:jc w:val="center"/>
        <w:rPr>
          <w:rFonts w:ascii="Calibri" w:hAnsi="Calibri"/>
          <w:b/>
          <w:sz w:val="20"/>
          <w:szCs w:val="20"/>
        </w:rPr>
      </w:pPr>
      <w:r w:rsidRPr="00FF218C">
        <w:rPr>
          <w:rFonts w:ascii="Calibri" w:hAnsi="Calibri"/>
          <w:b/>
          <w:sz w:val="20"/>
          <w:szCs w:val="20"/>
        </w:rPr>
        <w:t>O</w:t>
      </w:r>
      <w:r w:rsidR="00970076">
        <w:rPr>
          <w:rFonts w:ascii="Calibri" w:hAnsi="Calibri"/>
          <w:b/>
          <w:sz w:val="20"/>
          <w:szCs w:val="20"/>
        </w:rPr>
        <w:t>kres ubezpiecz</w:t>
      </w:r>
      <w:r w:rsidR="00BE5661">
        <w:rPr>
          <w:rFonts w:ascii="Calibri" w:hAnsi="Calibri"/>
          <w:b/>
          <w:sz w:val="20"/>
          <w:szCs w:val="20"/>
        </w:rPr>
        <w:t xml:space="preserve">enia od 01.10.2016 </w:t>
      </w:r>
      <w:proofErr w:type="gramStart"/>
      <w:r w:rsidR="00BE5661">
        <w:rPr>
          <w:rFonts w:ascii="Calibri" w:hAnsi="Calibri"/>
          <w:b/>
          <w:sz w:val="20"/>
          <w:szCs w:val="20"/>
        </w:rPr>
        <w:t>do</w:t>
      </w:r>
      <w:proofErr w:type="gramEnd"/>
      <w:r w:rsidR="00BE5661">
        <w:rPr>
          <w:rFonts w:ascii="Calibri" w:hAnsi="Calibri"/>
          <w:b/>
          <w:sz w:val="20"/>
          <w:szCs w:val="20"/>
        </w:rPr>
        <w:t xml:space="preserve"> 30.09.2017</w:t>
      </w:r>
    </w:p>
    <w:tbl>
      <w:tblPr>
        <w:tblW w:w="10196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882"/>
        <w:gridCol w:w="90"/>
        <w:gridCol w:w="3641"/>
      </w:tblGrid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L.</w:t>
            </w:r>
            <w:proofErr w:type="gramStart"/>
            <w:r>
              <w:rPr>
                <w:rFonts w:ascii="Calibri" w:hAnsi="Calibri"/>
                <w:b/>
                <w:color w:val="000000" w:themeColor="text1"/>
                <w:sz w:val="22"/>
              </w:rPr>
              <w:t>p</w:t>
            </w:r>
            <w:proofErr w:type="gramEnd"/>
            <w:r>
              <w:rPr>
                <w:rFonts w:ascii="Calibri" w:hAnsi="Calibri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Zakres ubezpieczenia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Wysokość sumy ubezpieczenia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Śmierć ubezpieczonego w następstwie NW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bCs/>
                <w:color w:val="000000" w:themeColor="text1"/>
                <w:sz w:val="19"/>
                <w:szCs w:val="19"/>
              </w:rPr>
              <w:t>20</w:t>
            </w:r>
            <w:r w:rsidR="00884157" w:rsidRPr="004C19EA">
              <w:rPr>
                <w:rFonts w:ascii="Calibri" w:hAnsi="Calibri"/>
                <w:b/>
                <w:bCs/>
                <w:color w:val="000000" w:themeColor="text1"/>
                <w:sz w:val="19"/>
                <w:szCs w:val="19"/>
              </w:rPr>
              <w:t xml:space="preserve">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2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Trwały uszczerbek na zdrowiu w następstwie nieszczęśliwego wypadku albo zdarzenia objętego umową (zgodnie z Tabelą uszczerbków zamieszczoną w OWU)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20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000 zł</w:t>
            </w:r>
          </w:p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20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 zł za 1%</w:t>
            </w:r>
          </w:p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uszczerbku</w:t>
            </w:r>
            <w:proofErr w:type="gramEnd"/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3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Leczenie stomatologiczne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Do 1 500 zł</w:t>
            </w:r>
          </w:p>
        </w:tc>
      </w:tr>
      <w:tr w:rsidR="00884157" w:rsidTr="002D1B9A">
        <w:trPr>
          <w:trHeight w:val="42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4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Pogryzienie, ukąszenie, użądlenie</w:t>
            </w:r>
          </w:p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Ryczałt 400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5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oparzenia</w:t>
            </w:r>
            <w:proofErr w:type="gramEnd"/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Do 11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6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odmrożenia</w:t>
            </w:r>
            <w:proofErr w:type="gramEnd"/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Do 11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000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7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Zwrot kosztów nabycia wyrobów medycznych, będących przedmiotami ortopedycznymi i środków pomocniczych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Limit do 6 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8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Zwrot kosztów przekwalifikowania zawodowego osób niepełnosprawnych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Limit do 6 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00 zł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9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Uszczerbek na zdrowiu w wyniku ataku padaczki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500zł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10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Uszkodzenie ciała w następstwie nieszczęśliwego wypadku, które wymagały interwencji lekarskiej w placówce medycznej i co najmniej jednej wizyty kontrolnej a nie pozostawiły trwałego uszczerbku na zdrowiu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400zł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11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Wstrząśnienie mózgu w wyniku nieszczęśliwego wypadku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Ryczałt 400zł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12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Zdiagnozowanie u Ubezpieczonego sepsy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Ryczałt 2 2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13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Śmierć rodzica Ubezpieczonego w następstwie nieszczęśliwego wypadku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Ryczałt 2 000zł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14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Zwrot kosztów leczenia NNW na terenie RP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Do 2 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15.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Zwrot kosztów leczenia za granicą w NNW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Do 2 0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16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Czasowa niezdolność do nauki/pracy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970076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6</w:t>
            </w:r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zł/</w:t>
            </w:r>
            <w:proofErr w:type="spellStart"/>
            <w:r w:rsidR="00884157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dz</w:t>
            </w:r>
            <w:proofErr w:type="spellEnd"/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970076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17</w:t>
            </w:r>
            <w:r w:rsidR="00884157">
              <w:rPr>
                <w:rFonts w:ascii="Calibri" w:hAnsi="Calibri"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4C19EA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Zwrot kosztów badań na obecność wirusa HIV i WZW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1000zł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970076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18</w:t>
            </w:r>
            <w:r w:rsidR="00884157">
              <w:rPr>
                <w:rFonts w:ascii="Calibri" w:hAnsi="Calibri"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4C19EA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Zwrot kosztów leczenia w postępowaniu </w:t>
            </w:r>
            <w:proofErr w:type="spellStart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poekspozycyjnym</w:t>
            </w:r>
            <w:proofErr w:type="spellEnd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w związku z ryzykiem zakażenia wirusem HIW i WZW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3 000zł</w:t>
            </w:r>
          </w:p>
        </w:tc>
      </w:tr>
      <w:tr w:rsidR="00884157" w:rsidTr="002D1B9A"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970076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19</w:t>
            </w:r>
            <w:r w:rsidR="00884157">
              <w:rPr>
                <w:rFonts w:ascii="Calibri" w:hAnsi="Calibri"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4C19EA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Usługi </w:t>
            </w:r>
            <w:proofErr w:type="spellStart"/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asistans</w:t>
            </w:r>
            <w:proofErr w:type="spellEnd"/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Zgodnie z OWU</w:t>
            </w:r>
            <w:r w:rsidR="00CF5DB5"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i ofertą</w:t>
            </w:r>
          </w:p>
        </w:tc>
      </w:tr>
      <w:tr w:rsidR="00884157" w:rsidTr="004C19EA">
        <w:trPr>
          <w:trHeight w:val="2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5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157" w:rsidRPr="004C19EA" w:rsidRDefault="00884157" w:rsidP="002D1B9A">
            <w:pPr>
              <w:spacing w:line="276" w:lineRule="auto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Składka </w:t>
            </w:r>
          </w:p>
        </w:tc>
        <w:tc>
          <w:tcPr>
            <w:tcW w:w="37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32zł</w:t>
            </w:r>
          </w:p>
          <w:p w:rsidR="00884157" w:rsidRPr="004C19EA" w:rsidRDefault="00884157" w:rsidP="002D1B9A">
            <w:pPr>
              <w:spacing w:line="276" w:lineRule="auto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</w:rPr>
              <w:t>L.</w:t>
            </w:r>
            <w:proofErr w:type="gramStart"/>
            <w:r>
              <w:rPr>
                <w:rFonts w:ascii="Calibri" w:hAnsi="Calibri"/>
                <w:b/>
                <w:color w:val="000000" w:themeColor="text1"/>
                <w:sz w:val="22"/>
              </w:rPr>
              <w:t>p</w:t>
            </w:r>
            <w:proofErr w:type="gramEnd"/>
            <w:r>
              <w:rPr>
                <w:rFonts w:ascii="Calibri" w:hAnsi="Calibri"/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Zakres ubezpieczenia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D21CF5" w:rsidRDefault="00884157" w:rsidP="002D1B9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21CF5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Wysokość sumy gwarancyjnej</w:t>
            </w:r>
          </w:p>
        </w:tc>
      </w:tr>
      <w:tr w:rsidR="00884157" w:rsidTr="002D1B9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Default="00884157" w:rsidP="002D1B9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157" w:rsidRPr="004C19EA" w:rsidRDefault="00884157" w:rsidP="002D1B9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Odpowiedzialność cywilna studentów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25 000,00 zł</w:t>
            </w:r>
          </w:p>
        </w:tc>
      </w:tr>
      <w:tr w:rsidR="00884157" w:rsidTr="002D1B9A"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 xml:space="preserve">Czasowy zakres ochrony – </w:t>
            </w: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ochrona całodobowa (w tym podczas pobytu na uczelni, poza uczelnią, na obozach organizowanych przez uczelnię, podczas praktyk studenckich, podczas wyjazdów stypendialnych)</w:t>
            </w:r>
          </w:p>
        </w:tc>
      </w:tr>
      <w:tr w:rsidR="00884157" w:rsidTr="002D1B9A">
        <w:tc>
          <w:tcPr>
            <w:tcW w:w="10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157" w:rsidRPr="004C19EA" w:rsidRDefault="00884157" w:rsidP="002D1B9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 xml:space="preserve">Zakres terytorialny – </w:t>
            </w:r>
            <w:r w:rsidRPr="004C19EA">
              <w:rPr>
                <w:rFonts w:ascii="Calibri" w:hAnsi="Calibri"/>
                <w:color w:val="000000" w:themeColor="text1"/>
                <w:sz w:val="19"/>
                <w:szCs w:val="19"/>
              </w:rPr>
              <w:t>ubezpieczenie obejmuje wypadki zarówno w kraju jak i za granicą,</w:t>
            </w:r>
          </w:p>
        </w:tc>
      </w:tr>
      <w:tr w:rsidR="00CF5DB5" w:rsidTr="00CF5DB5">
        <w:tc>
          <w:tcPr>
            <w:tcW w:w="6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DB5" w:rsidRPr="004C19EA" w:rsidRDefault="00CF5DB5" w:rsidP="00CF5DB5">
            <w:pPr>
              <w:shd w:val="clear" w:color="auto" w:fill="FFFFFF" w:themeFill="background1"/>
              <w:spacing w:line="276" w:lineRule="auto"/>
              <w:jc w:val="center"/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Składka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CF5DB5" w:rsidRPr="004C19EA" w:rsidRDefault="00CF5DB5" w:rsidP="00CF5DB5">
            <w:pPr>
              <w:shd w:val="clear" w:color="auto" w:fill="FFFFFF" w:themeFill="background1"/>
              <w:spacing w:line="276" w:lineRule="auto"/>
              <w:ind w:left="50"/>
              <w:jc w:val="center"/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</w:pPr>
            <w:r w:rsidRPr="004C19EA">
              <w:rPr>
                <w:rFonts w:ascii="Calibri" w:hAnsi="Calibri"/>
                <w:b/>
                <w:color w:val="000000" w:themeColor="text1"/>
                <w:sz w:val="19"/>
                <w:szCs w:val="19"/>
              </w:rPr>
              <w:t>5,00zł</w:t>
            </w:r>
          </w:p>
        </w:tc>
      </w:tr>
    </w:tbl>
    <w:p w:rsidR="007A2DF0" w:rsidRDefault="007A2DF0" w:rsidP="00CF5DB5">
      <w:pPr>
        <w:shd w:val="clear" w:color="auto" w:fill="FFFFFF" w:themeFill="background1"/>
      </w:pP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 xml:space="preserve">Ubezpieczający </w:t>
      </w:r>
      <w:r w:rsidRPr="00731AD9">
        <w:rPr>
          <w:rFonts w:ascii="Calibri" w:hAnsi="Calibri"/>
        </w:rPr>
        <w:t>– Państwowa Szkoła Wyższa im. Papieża Jana Pawła II w Białej Podlaskiej, która zawiera umowę dobrowolnego, grupowego ubezpieczenia NNW w i</w:t>
      </w:r>
      <w:r w:rsidR="00CC3E3D">
        <w:rPr>
          <w:rFonts w:ascii="Calibri" w:hAnsi="Calibri"/>
        </w:rPr>
        <w:t>mieniu ubezpieczonych studentów.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Ubezpieczony – </w:t>
      </w:r>
      <w:r w:rsidR="00884157" w:rsidRPr="00731AD9">
        <w:rPr>
          <w:rFonts w:ascii="Calibri" w:hAnsi="Calibri"/>
        </w:rPr>
        <w:t>osoba fizyczna (student PSW im. Papieża Jana Pawła II w Białej Podlaskiej), która jest objęta ochroną ubezpieczeniową.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Uprawniony - </w:t>
      </w:r>
      <w:r w:rsidR="00884157" w:rsidRPr="00731AD9">
        <w:rPr>
          <w:rFonts w:ascii="Calibri" w:hAnsi="Calibri"/>
        </w:rPr>
        <w:t>osoba upoważniona do otrzymania świadczenia w razie śmierci Ubezpieczonego; w przypadku nie wyznaczenia osoby uprawnionej świadczenie przysługuje członkom rodziny Ubezpieczonego według następującej kolejności: małżonkowi, dzieciom, rodzicom, innym ustawowym spadkobiercom w kolejności przewidzianej prawem spadkowym; jeżeli świadczenie przysługuje kilku osobom, to jego wysokość dzieli się między te osoby w równych częściach.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Nieszczęśliwy wypadek - </w:t>
      </w:r>
      <w:r w:rsidR="00884157" w:rsidRPr="00731AD9">
        <w:rPr>
          <w:rFonts w:ascii="Calibri" w:hAnsi="Calibri"/>
        </w:rPr>
        <w:t xml:space="preserve">przypadkowe, nagłe, niezależne od woli Ubezpieczonego </w:t>
      </w:r>
      <w:r w:rsidR="00884157" w:rsidRPr="00731AD9">
        <w:rPr>
          <w:rFonts w:ascii="Calibri" w:hAnsi="Calibri"/>
        </w:rPr>
        <w:br/>
        <w:t xml:space="preserve">i stanu jego zdrowia, gwałtowne zdarzenie wywołane przyczyną zewnętrzną, w </w:t>
      </w:r>
      <w:proofErr w:type="gramStart"/>
      <w:r w:rsidR="00884157" w:rsidRPr="00731AD9">
        <w:rPr>
          <w:rFonts w:ascii="Calibri" w:hAnsi="Calibri"/>
        </w:rPr>
        <w:t>następstwie którego</w:t>
      </w:r>
      <w:proofErr w:type="gramEnd"/>
      <w:r w:rsidR="00884157" w:rsidRPr="00731AD9">
        <w:rPr>
          <w:rFonts w:ascii="Calibri" w:hAnsi="Calibri"/>
        </w:rPr>
        <w:t xml:space="preserve"> zaszło zdarzenie objęte odpowiedzialnością Wykonawcy.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Trwały uszczerbek na zdrowiu - </w:t>
      </w:r>
      <w:r w:rsidR="00884157" w:rsidRPr="00731AD9">
        <w:rPr>
          <w:rFonts w:ascii="Calibri" w:hAnsi="Calibri"/>
        </w:rPr>
        <w:t xml:space="preserve">trwałe, </w:t>
      </w:r>
      <w:proofErr w:type="gramStart"/>
      <w:r w:rsidR="00884157" w:rsidRPr="00731AD9">
        <w:rPr>
          <w:rFonts w:ascii="Calibri" w:hAnsi="Calibri"/>
        </w:rPr>
        <w:t>nie rokujące</w:t>
      </w:r>
      <w:proofErr w:type="gramEnd"/>
      <w:r w:rsidR="00884157" w:rsidRPr="00731AD9">
        <w:rPr>
          <w:rFonts w:ascii="Calibri" w:hAnsi="Calibri"/>
        </w:rPr>
        <w:t xml:space="preserve"> poprawy uszkodzenie danego organu, narządu lub układu, polegające na fizycznej utracie tego organu, narządu lub układu lub upośledzeniu jego funkcji.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Koszty leczenia – </w:t>
      </w:r>
      <w:r w:rsidR="00884157" w:rsidRPr="00731AD9">
        <w:rPr>
          <w:rFonts w:ascii="Calibri" w:hAnsi="Calibri"/>
        </w:rPr>
        <w:t>niezbędne z medycznego punktu widzenia koszty:</w:t>
      </w:r>
    </w:p>
    <w:p w:rsidR="004C19EA" w:rsidRPr="004C19EA" w:rsidRDefault="00884157" w:rsidP="004C19EA">
      <w:pPr>
        <w:pStyle w:val="Akapitzlist"/>
        <w:numPr>
          <w:ilvl w:val="0"/>
          <w:numId w:val="9"/>
        </w:numPr>
        <w:tabs>
          <w:tab w:val="left" w:pos="720"/>
        </w:tabs>
        <w:suppressAutoHyphens/>
        <w:autoSpaceDN w:val="0"/>
        <w:textAlignment w:val="baseline"/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wizyt</w:t>
      </w:r>
      <w:proofErr w:type="gramEnd"/>
      <w:r w:rsidRPr="004C19EA">
        <w:rPr>
          <w:rFonts w:ascii="Calibri" w:hAnsi="Calibri"/>
          <w:sz w:val="16"/>
          <w:szCs w:val="16"/>
        </w:rPr>
        <w:t xml:space="preserve"> lekarskich, leczenia, zabiegów ambulatoryjnych i operacji oraz badań zleconych przez lekarza,</w:t>
      </w:r>
    </w:p>
    <w:p w:rsidR="004C19EA" w:rsidRPr="004C19EA" w:rsidRDefault="00884157" w:rsidP="004C19EA">
      <w:pPr>
        <w:pStyle w:val="Akapitzlist"/>
        <w:numPr>
          <w:ilvl w:val="0"/>
          <w:numId w:val="9"/>
        </w:numPr>
        <w:tabs>
          <w:tab w:val="left" w:pos="720"/>
        </w:tabs>
        <w:suppressAutoHyphens/>
        <w:autoSpaceDN w:val="0"/>
        <w:textAlignment w:val="baseline"/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zakupu</w:t>
      </w:r>
      <w:proofErr w:type="gramEnd"/>
      <w:r w:rsidRPr="004C19EA">
        <w:rPr>
          <w:rFonts w:ascii="Calibri" w:hAnsi="Calibri"/>
          <w:sz w:val="16"/>
          <w:szCs w:val="16"/>
        </w:rPr>
        <w:t xml:space="preserve"> niezbędnych lekarstw i środków opatrunkowych przepisanych przez lekarza,</w:t>
      </w:r>
    </w:p>
    <w:p w:rsidR="004C19EA" w:rsidRPr="004C19EA" w:rsidRDefault="00884157" w:rsidP="004C19EA">
      <w:pPr>
        <w:pStyle w:val="Akapitzlist"/>
        <w:numPr>
          <w:ilvl w:val="0"/>
          <w:numId w:val="9"/>
        </w:numPr>
        <w:tabs>
          <w:tab w:val="left" w:pos="720"/>
        </w:tabs>
        <w:suppressAutoHyphens/>
        <w:autoSpaceDN w:val="0"/>
        <w:textAlignment w:val="baseline"/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leczenia</w:t>
      </w:r>
      <w:proofErr w:type="gramEnd"/>
      <w:r w:rsidRPr="004C19EA">
        <w:rPr>
          <w:rFonts w:ascii="Calibri" w:hAnsi="Calibri"/>
          <w:sz w:val="16"/>
          <w:szCs w:val="16"/>
        </w:rPr>
        <w:t xml:space="preserve"> szpitalnego,</w:t>
      </w:r>
    </w:p>
    <w:p w:rsidR="00884157" w:rsidRPr="004C19EA" w:rsidRDefault="00884157" w:rsidP="004C19EA">
      <w:pPr>
        <w:pStyle w:val="Akapitzlist"/>
        <w:numPr>
          <w:ilvl w:val="0"/>
          <w:numId w:val="9"/>
        </w:numPr>
        <w:tabs>
          <w:tab w:val="left" w:pos="720"/>
        </w:tabs>
        <w:suppressAutoHyphens/>
        <w:autoSpaceDN w:val="0"/>
        <w:textAlignment w:val="baseline"/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transportu</w:t>
      </w:r>
      <w:proofErr w:type="gramEnd"/>
      <w:r w:rsidRPr="004C19EA">
        <w:rPr>
          <w:rFonts w:ascii="Calibri" w:hAnsi="Calibri"/>
          <w:sz w:val="16"/>
          <w:szCs w:val="16"/>
        </w:rPr>
        <w:t xml:space="preserve"> z miejsca wypadku do szpitala lub ambulatorium</w:t>
      </w:r>
    </w:p>
    <w:p w:rsidR="00884157" w:rsidRPr="00731AD9" w:rsidRDefault="00884157" w:rsidP="00884157">
      <w:pPr>
        <w:tabs>
          <w:tab w:val="left" w:pos="792"/>
        </w:tabs>
        <w:suppressAutoHyphens/>
        <w:autoSpaceDN w:val="0"/>
        <w:textAlignment w:val="baseline"/>
      </w:pPr>
      <w:r w:rsidRPr="00731AD9">
        <w:rPr>
          <w:rFonts w:ascii="Calibri" w:hAnsi="Calibri"/>
        </w:rPr>
        <w:t>W odniesieniu do innych definicji Zamawiający uznaje treść definicji obowiązujących w Ogólnych Warunkach Ubezpieczenia (zwanych dalej „OWU”) Wykonawcy</w:t>
      </w:r>
      <w:r w:rsidR="00921787">
        <w:rPr>
          <w:rFonts w:ascii="Calibri" w:hAnsi="Calibri"/>
        </w:rPr>
        <w:t>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>Śmierć ubezpieczonego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Zakres ubezpieczenia obejmuje śmierć Ubezpieczonego w następstwie nieszczęśliwego wypadku zaistniałego w okresie odpowiedzialności Wykonawcy.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Prawo do świadczenia przysługuje, jeżeli śmierć Ubezpieczonego nastąpiła w ciągu 12 miesięcy od daty nieszczęśliwego wypadku oraz jeżeli z medycznego punktu widzenia istnieje związek przyczynowo – skutkowy pomiędzy nieszczęśliwym wypadkiem a śmiercią Ubezpieczonego.</w:t>
      </w:r>
    </w:p>
    <w:p w:rsidR="00884157" w:rsidRPr="00731AD9" w:rsidRDefault="004C19EA" w:rsidP="004C19EA">
      <w:pPr>
        <w:tabs>
          <w:tab w:val="left" w:pos="792"/>
        </w:tabs>
        <w:suppressAutoHyphens/>
        <w:autoSpaceDN w:val="0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>Trwały uszczerbek na zdrowiu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 xml:space="preserve">Zakres ubezpieczenia obejmuje wystąpienie u Ubezpieczonego trwałego uszczerbku na zdrowiu w następstwie nieszczęśliwego wypadku, który wystąpił </w:t>
      </w:r>
      <w:r w:rsidR="00921787">
        <w:rPr>
          <w:rFonts w:ascii="Calibri" w:hAnsi="Calibri"/>
        </w:rPr>
        <w:br/>
      </w:r>
      <w:r w:rsidRPr="00731AD9">
        <w:rPr>
          <w:rFonts w:ascii="Calibri" w:hAnsi="Calibri"/>
        </w:rPr>
        <w:t>w okresie odpowiedzialności Wykonawcy.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Prawo do świadczenia przysługuje za każdy procent stwierdzonego uszczerbku na zdrowiu maksymalnie za 100 % trwałego uszczerbku na zdrowiu Ubezpieczonego oraz jeżeli z medycznego punktu widzenia istnieje związek przyczynowo – skutkowy pomiędzy nieszczęśliwym wypadkiem a trwałym uszczerbkiem na zdrowiu Ubezpieczonego.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>Śmierć rodzica Ubezpieczonego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Zakres ubezpieczenia obejmuje śmierć rodzica w następstwie nieszczęśliwego wypadku, która nastąpiła w okresie odpowiedzialności Wykonawcy.</w:t>
      </w:r>
    </w:p>
    <w:p w:rsidR="004C19EA" w:rsidRDefault="00884157" w:rsidP="004C19EA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Przez rodzica rozumie się matkę lub ojca Ubezpieczonego w roz</w:t>
      </w:r>
      <w:r w:rsidR="00921787">
        <w:rPr>
          <w:rFonts w:ascii="Calibri" w:hAnsi="Calibri"/>
        </w:rPr>
        <w:t xml:space="preserve">umieniu kodeksu rodzinnego i </w:t>
      </w:r>
      <w:r w:rsidRPr="00731AD9">
        <w:rPr>
          <w:rFonts w:ascii="Calibri" w:hAnsi="Calibri"/>
        </w:rPr>
        <w:t>opiekuńczego.</w:t>
      </w:r>
    </w:p>
    <w:p w:rsidR="00884157" w:rsidRPr="004C19EA" w:rsidRDefault="004C19EA" w:rsidP="004C19EA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>Zwrot kosztów leczenia na terenie Rzeczypospolitej Polskiej i za granicą w następstwie nieszczęśliwego wypadku</w:t>
      </w:r>
    </w:p>
    <w:p w:rsidR="00884157" w:rsidRPr="00731AD9" w:rsidRDefault="00884157" w:rsidP="00884157">
      <w:pPr>
        <w:tabs>
          <w:tab w:val="left" w:pos="142"/>
        </w:tabs>
        <w:suppressAutoHyphens/>
        <w:autoSpaceDN w:val="0"/>
        <w:textAlignment w:val="baseline"/>
        <w:rPr>
          <w:rFonts w:ascii="Calibri" w:hAnsi="Calibri"/>
        </w:rPr>
      </w:pPr>
      <w:r w:rsidRPr="00731AD9">
        <w:rPr>
          <w:rFonts w:ascii="Calibri" w:hAnsi="Calibri"/>
        </w:rPr>
        <w:t>Wykonawca refunduje koszty poniesione na leczenie skutków nieszczęśliwego wypadku, które nie zostały pokryte z ubezpieczenia zdrowotnego, innego ubezpieczenia lub z innego tytułu. Refundacji podlegają udokumentowane oryginalnymi rachunkami i dowodami zapłaty koszty, które zostały poniesione w ciągu 2 lat od daty nieszczęśliwego wypadku, do wysokości rzeczywistych kosztów, maksymalnie jednak do kwoty wynikającej z zawartej umowy ubezpieczenia.</w:t>
      </w:r>
    </w:p>
    <w:p w:rsidR="00884157" w:rsidRPr="00731AD9" w:rsidRDefault="004C19EA" w:rsidP="00884157">
      <w:pPr>
        <w:pStyle w:val="Akapitzlist"/>
        <w:tabs>
          <w:tab w:val="left" w:pos="709"/>
        </w:tabs>
        <w:suppressAutoHyphens/>
        <w:autoSpaceDN w:val="0"/>
        <w:ind w:left="0"/>
        <w:contextualSpacing w:val="0"/>
        <w:textAlignment w:val="baseline"/>
        <w:rPr>
          <w:sz w:val="16"/>
          <w:szCs w:val="16"/>
        </w:rPr>
      </w:pPr>
      <w:r>
        <w:rPr>
          <w:rFonts w:ascii="Calibri" w:eastAsia="Times New Roman" w:hAnsi="Calibri" w:cs="Arial"/>
          <w:kern w:val="96"/>
          <w:position w:val="6"/>
          <w:sz w:val="16"/>
          <w:szCs w:val="16"/>
          <w:lang w:eastAsia="pl-PL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>Koszty leczenia stomatologicznego w wyniku nieszczęśliwego wypadku</w:t>
      </w:r>
      <w:r w:rsidR="00884157" w:rsidRPr="00731AD9">
        <w:rPr>
          <w:rFonts w:ascii="Calibri" w:hAnsi="Calibri" w:cs="Arial"/>
          <w:sz w:val="16"/>
          <w:szCs w:val="16"/>
        </w:rPr>
        <w:t xml:space="preserve"> – </w:t>
      </w:r>
    </w:p>
    <w:p w:rsidR="00884157" w:rsidRPr="00731AD9" w:rsidRDefault="00884157" w:rsidP="00884157">
      <w:pPr>
        <w:pStyle w:val="Akapitzlist"/>
        <w:tabs>
          <w:tab w:val="left" w:pos="142"/>
        </w:tabs>
        <w:ind w:left="0" w:hanging="426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      </w:t>
      </w:r>
      <w:r w:rsidR="004C19EA">
        <w:rPr>
          <w:rFonts w:ascii="Calibri" w:hAnsi="Calibri" w:cs="Arial"/>
          <w:sz w:val="16"/>
          <w:szCs w:val="16"/>
        </w:rPr>
        <w:tab/>
      </w:r>
      <w:r w:rsidRPr="00731AD9">
        <w:rPr>
          <w:rFonts w:ascii="Calibri" w:hAnsi="Calibri" w:cs="Arial"/>
          <w:sz w:val="16"/>
          <w:szCs w:val="16"/>
        </w:rPr>
        <w:t xml:space="preserve">Zakres ubezpieczenia obejmuje zwrot udokumentowanych kosztów do wysokości sumy ubezpieczenia określonej w umowie ubezpieczenia pod warunkiem, </w:t>
      </w:r>
      <w:r w:rsidR="004C19EA">
        <w:rPr>
          <w:rFonts w:ascii="Calibri" w:hAnsi="Calibri" w:cs="Arial"/>
          <w:sz w:val="16"/>
          <w:szCs w:val="16"/>
        </w:rPr>
        <w:br/>
      </w:r>
      <w:r w:rsidRPr="00731AD9">
        <w:rPr>
          <w:rFonts w:ascii="Calibri" w:hAnsi="Calibri" w:cs="Arial"/>
          <w:sz w:val="16"/>
          <w:szCs w:val="16"/>
        </w:rPr>
        <w:t>iż koszty leczenia stomatologicznego:</w:t>
      </w:r>
    </w:p>
    <w:p w:rsidR="004C19EA" w:rsidRDefault="00884157" w:rsidP="004C19EA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proofErr w:type="gramStart"/>
      <w:r w:rsidRPr="00731AD9">
        <w:rPr>
          <w:rFonts w:ascii="Calibri" w:hAnsi="Calibri" w:cs="Arial"/>
          <w:sz w:val="16"/>
          <w:szCs w:val="16"/>
        </w:rPr>
        <w:t>powstały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w następstwie nieszczęśliwego wypadku, który wydarzył się podczas trwania ochrony ubezpieczeniowej,</w:t>
      </w:r>
    </w:p>
    <w:p w:rsidR="004C19EA" w:rsidRDefault="00884157" w:rsidP="004C19EA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proofErr w:type="gramStart"/>
      <w:r w:rsidRPr="004C19EA">
        <w:rPr>
          <w:rFonts w:ascii="Calibri" w:hAnsi="Calibri" w:cs="Arial"/>
          <w:sz w:val="16"/>
          <w:szCs w:val="16"/>
        </w:rPr>
        <w:t>zostały</w:t>
      </w:r>
      <w:proofErr w:type="gramEnd"/>
      <w:r w:rsidRPr="004C19EA">
        <w:rPr>
          <w:rFonts w:ascii="Calibri" w:hAnsi="Calibri" w:cs="Arial"/>
          <w:sz w:val="16"/>
          <w:szCs w:val="16"/>
        </w:rPr>
        <w:t xml:space="preserve"> poniesione na odbudowę stomatologiczną uszkodzonego lub utraconego zęba stałego,</w:t>
      </w:r>
    </w:p>
    <w:p w:rsidR="00884157" w:rsidRPr="004C19EA" w:rsidRDefault="00884157" w:rsidP="004C19EA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proofErr w:type="gramStart"/>
      <w:r w:rsidRPr="004C19EA">
        <w:rPr>
          <w:rFonts w:ascii="Calibri" w:hAnsi="Calibri" w:cs="Arial"/>
          <w:sz w:val="16"/>
          <w:szCs w:val="16"/>
        </w:rPr>
        <w:t>zostały</w:t>
      </w:r>
      <w:proofErr w:type="gramEnd"/>
      <w:r w:rsidRPr="004C19EA">
        <w:rPr>
          <w:rFonts w:ascii="Calibri" w:hAnsi="Calibri" w:cs="Arial"/>
          <w:sz w:val="16"/>
          <w:szCs w:val="16"/>
        </w:rPr>
        <w:t xml:space="preserve"> poniesione w okresie ubezpieczenia na terytorium </w:t>
      </w:r>
      <w:r w:rsidRPr="004C19EA">
        <w:rPr>
          <w:rFonts w:ascii="Calibri" w:hAnsi="Calibri" w:cs="Arial"/>
          <w:sz w:val="16"/>
          <w:szCs w:val="16"/>
          <w:u w:val="single"/>
        </w:rPr>
        <w:t>Rzeczpospolitej Polskiej</w:t>
      </w:r>
      <w:r w:rsidRPr="004C19EA">
        <w:rPr>
          <w:rFonts w:ascii="Calibri" w:hAnsi="Calibri" w:cs="Arial"/>
          <w:sz w:val="16"/>
          <w:szCs w:val="16"/>
        </w:rPr>
        <w:t>, w okresie maksymalnie 6 miesięcy od daty nieszczęśliwego wypadku;</w:t>
      </w: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0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884157" w:rsidP="00884157">
      <w:pPr>
        <w:pStyle w:val="Akapitzlist"/>
        <w:numPr>
          <w:ilvl w:val="1"/>
          <w:numId w:val="5"/>
        </w:numPr>
        <w:autoSpaceDN w:val="0"/>
        <w:ind w:left="0"/>
        <w:contextualSpacing w:val="0"/>
        <w:rPr>
          <w:rFonts w:ascii="Calibri" w:hAnsi="Calibri" w:cs="Arial"/>
          <w:vanish/>
          <w:sz w:val="16"/>
          <w:szCs w:val="16"/>
          <w:lang w:eastAsia="pl-PL"/>
        </w:rPr>
      </w:pPr>
    </w:p>
    <w:p w:rsidR="00884157" w:rsidRPr="00731AD9" w:rsidRDefault="004C19EA" w:rsidP="004C19EA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>Pogryzienie przez psa lub inne zwierzęta, pokąsania lub ukąszenia.</w:t>
      </w:r>
    </w:p>
    <w:p w:rsidR="00884157" w:rsidRPr="00731AD9" w:rsidRDefault="00884157" w:rsidP="00884157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Zakres ochrony ubezpieczeniowej obejmuje jednorazowe świadczenie w wysokości sumy ubezpieczenia określonej w umowie ubezpieczenia, pod warunkiem, </w:t>
      </w:r>
      <w:r w:rsidR="004C19EA">
        <w:rPr>
          <w:rFonts w:ascii="Calibri" w:hAnsi="Calibri" w:cs="Arial"/>
          <w:sz w:val="16"/>
          <w:szCs w:val="16"/>
        </w:rPr>
        <w:br/>
      </w:r>
      <w:r w:rsidRPr="00731AD9">
        <w:rPr>
          <w:rFonts w:ascii="Calibri" w:hAnsi="Calibri" w:cs="Arial"/>
          <w:sz w:val="16"/>
          <w:szCs w:val="16"/>
        </w:rPr>
        <w:t xml:space="preserve">że pokąsanie lub ukąszenie </w:t>
      </w:r>
      <w:proofErr w:type="gramStart"/>
      <w:r w:rsidRPr="00731AD9">
        <w:rPr>
          <w:rFonts w:ascii="Calibri" w:hAnsi="Calibri" w:cs="Arial"/>
          <w:sz w:val="16"/>
          <w:szCs w:val="16"/>
        </w:rPr>
        <w:t>wymagały co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najmniej jednej wizyty lekarskiej w sz</w:t>
      </w:r>
      <w:r w:rsidR="00921787">
        <w:rPr>
          <w:rFonts w:ascii="Calibri" w:hAnsi="Calibri" w:cs="Arial"/>
          <w:sz w:val="16"/>
          <w:szCs w:val="16"/>
        </w:rPr>
        <w:t>pitalu/poradni specjalistycznej.</w:t>
      </w:r>
    </w:p>
    <w:p w:rsidR="00884157" w:rsidRPr="00731AD9" w:rsidRDefault="004C19EA" w:rsidP="004C19EA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 xml:space="preserve">Oparzenia </w:t>
      </w:r>
      <w:r w:rsidR="00884157" w:rsidRPr="00731AD9">
        <w:rPr>
          <w:rFonts w:ascii="Calibri" w:hAnsi="Calibri" w:cs="Arial"/>
          <w:sz w:val="16"/>
          <w:szCs w:val="16"/>
        </w:rPr>
        <w:t>Zakres ochrony wykonawcy obejmuje -świadczenie: II-stopień 10% sumy ubezpieczenia, II stopień-30%sumy ubezpieczenia, IV stopień-50%</w:t>
      </w:r>
      <w:r>
        <w:rPr>
          <w:rFonts w:ascii="Calibri" w:hAnsi="Calibri" w:cs="Arial"/>
          <w:sz w:val="16"/>
          <w:szCs w:val="16"/>
        </w:rPr>
        <w:t xml:space="preserve"> </w:t>
      </w:r>
      <w:r w:rsidR="00884157" w:rsidRPr="00731AD9">
        <w:rPr>
          <w:rFonts w:ascii="Calibri" w:hAnsi="Calibri" w:cs="Arial"/>
          <w:sz w:val="16"/>
          <w:szCs w:val="16"/>
        </w:rPr>
        <w:t>sumy ubezpieczenia</w:t>
      </w:r>
      <w:r w:rsidR="00921787">
        <w:rPr>
          <w:rFonts w:ascii="Calibri" w:hAnsi="Calibri" w:cs="Arial"/>
          <w:sz w:val="16"/>
          <w:szCs w:val="16"/>
        </w:rPr>
        <w:t>.</w:t>
      </w:r>
    </w:p>
    <w:p w:rsidR="00884157" w:rsidRPr="00731AD9" w:rsidRDefault="004C19EA" w:rsidP="00884157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 xml:space="preserve">Odmrożenia </w:t>
      </w:r>
      <w:r w:rsidR="00884157" w:rsidRPr="00731AD9">
        <w:rPr>
          <w:rFonts w:ascii="Calibri" w:hAnsi="Calibri" w:cs="Arial"/>
          <w:sz w:val="16"/>
          <w:szCs w:val="16"/>
        </w:rPr>
        <w:t>Zakres ochrony wykonawcy obejmuje-świadczenie: II-stopień 10% sumy ubezpieczenia, II stopień-30%sumy ubezpieczenia, IV stopień-50%</w:t>
      </w:r>
      <w:r>
        <w:rPr>
          <w:rFonts w:ascii="Calibri" w:hAnsi="Calibri" w:cs="Arial"/>
          <w:sz w:val="16"/>
          <w:szCs w:val="16"/>
        </w:rPr>
        <w:t xml:space="preserve"> </w:t>
      </w:r>
      <w:r w:rsidR="00884157" w:rsidRPr="00731AD9">
        <w:rPr>
          <w:rFonts w:ascii="Calibri" w:hAnsi="Calibri" w:cs="Arial"/>
          <w:sz w:val="16"/>
          <w:szCs w:val="16"/>
        </w:rPr>
        <w:t>sumy ubezpieczenia</w:t>
      </w:r>
      <w:r w:rsidR="00921787">
        <w:rPr>
          <w:rFonts w:ascii="Calibri" w:hAnsi="Calibri" w:cs="Arial"/>
          <w:sz w:val="16"/>
          <w:szCs w:val="16"/>
        </w:rPr>
        <w:t>.</w:t>
      </w:r>
    </w:p>
    <w:p w:rsidR="00BE5661" w:rsidRDefault="004C19EA" w:rsidP="00884157">
      <w:pPr>
        <w:pStyle w:val="Tekstpodstawowywcity2"/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>Zwrot kosztów nabycia wyrobów</w:t>
      </w:r>
      <w:r w:rsidR="00884157" w:rsidRPr="00731AD9">
        <w:rPr>
          <w:rFonts w:ascii="Calibri" w:hAnsi="Calibri" w:cs="Arial"/>
          <w:sz w:val="16"/>
          <w:szCs w:val="16"/>
        </w:rPr>
        <w:t xml:space="preserve"> </w:t>
      </w:r>
      <w:r w:rsidR="00884157" w:rsidRPr="00731AD9">
        <w:rPr>
          <w:rFonts w:ascii="Calibri" w:hAnsi="Calibri" w:cs="Arial"/>
          <w:b/>
          <w:sz w:val="16"/>
          <w:szCs w:val="16"/>
        </w:rPr>
        <w:t xml:space="preserve">medycznych, będących przedmiotami ortopedycznymi i środków pomocniczych </w:t>
      </w:r>
      <w:r w:rsidR="00884157" w:rsidRPr="00731AD9">
        <w:rPr>
          <w:rFonts w:ascii="Calibri" w:hAnsi="Calibri" w:cs="Arial"/>
          <w:sz w:val="16"/>
          <w:szCs w:val="16"/>
        </w:rPr>
        <w:t xml:space="preserve">Zakres ochrony obejmuje zwrot udokumentowanych kosztów do </w:t>
      </w:r>
      <w:proofErr w:type="gramStart"/>
      <w:r w:rsidR="00884157" w:rsidRPr="00731AD9">
        <w:rPr>
          <w:rFonts w:ascii="Calibri" w:hAnsi="Calibri" w:cs="Arial"/>
          <w:sz w:val="16"/>
          <w:szCs w:val="16"/>
        </w:rPr>
        <w:t>wysokości  sumy</w:t>
      </w:r>
      <w:proofErr w:type="gramEnd"/>
      <w:r w:rsidR="00884157" w:rsidRPr="00731AD9">
        <w:rPr>
          <w:rFonts w:ascii="Calibri" w:hAnsi="Calibri" w:cs="Arial"/>
          <w:sz w:val="16"/>
          <w:szCs w:val="16"/>
        </w:rPr>
        <w:t xml:space="preserve"> ubezpieczenia określonej w umowie ubezpieczenia, pod warunkiem iż: są niezbędne z medycznego punktu widzenia i udokumentowane kopią zlecenia lekarskiego na zaopatrzenie w wyroby medyczne będące przedmiotami ortopedycznymi oraz środki pomocnicze, zostały poniesione na terytorium Rzeczpospolitej Polskiej w okresie nie dłuższym niż dwa lata </w:t>
      </w:r>
      <w:r>
        <w:rPr>
          <w:rFonts w:ascii="Calibri" w:hAnsi="Calibri" w:cs="Arial"/>
          <w:sz w:val="16"/>
          <w:szCs w:val="16"/>
        </w:rPr>
        <w:t>od daty nieszczęśliwego wypadku.</w:t>
      </w:r>
      <w:r>
        <w:rPr>
          <w:rFonts w:ascii="Calibri" w:hAnsi="Calibri" w:cs="Arial"/>
          <w:sz w:val="16"/>
          <w:szCs w:val="16"/>
        </w:rPr>
        <w:br/>
      </w:r>
      <w:r>
        <w:rPr>
          <w:rFonts w:ascii="Calibri" w:hAnsi="Calibri" w:cs="Arial"/>
          <w:b/>
          <w:sz w:val="16"/>
          <w:szCs w:val="16"/>
        </w:rPr>
        <w:br/>
        <w:t>Z</w:t>
      </w:r>
      <w:r w:rsidR="00884157" w:rsidRPr="00731AD9">
        <w:rPr>
          <w:rFonts w:ascii="Calibri" w:hAnsi="Calibri" w:cs="Arial"/>
          <w:b/>
          <w:sz w:val="16"/>
          <w:szCs w:val="16"/>
        </w:rPr>
        <w:t xml:space="preserve">wrot </w:t>
      </w:r>
      <w:proofErr w:type="gramStart"/>
      <w:r w:rsidR="00884157" w:rsidRPr="00731AD9">
        <w:rPr>
          <w:rFonts w:ascii="Calibri" w:hAnsi="Calibri" w:cs="Arial"/>
          <w:b/>
          <w:sz w:val="16"/>
          <w:szCs w:val="16"/>
        </w:rPr>
        <w:t>kosztów  przekwalifikowania</w:t>
      </w:r>
      <w:proofErr w:type="gramEnd"/>
      <w:r w:rsidR="00884157" w:rsidRPr="00731AD9">
        <w:rPr>
          <w:rFonts w:ascii="Calibri" w:hAnsi="Calibri" w:cs="Arial"/>
          <w:b/>
          <w:sz w:val="16"/>
          <w:szCs w:val="16"/>
        </w:rPr>
        <w:t xml:space="preserve"> zawodowego osób niepełnosprawnych</w:t>
      </w:r>
      <w:r w:rsidR="00884157" w:rsidRPr="00731AD9">
        <w:rPr>
          <w:rFonts w:ascii="Calibri" w:hAnsi="Calibri" w:cs="Arial"/>
          <w:sz w:val="16"/>
          <w:szCs w:val="16"/>
        </w:rPr>
        <w:t xml:space="preserve">  zwrot udokumentowanych kosztów do wysokości  sumy ubezpieczenia określonej w umowie ubezpieczenia, pod warunkiem iż: − Ubezpieczonemu na podstawie decyzji Zakładu Ubezpieczeń Społecznych przyznano rentę szkoleniową jako osobie trwale niezdolnej do pracy w dotychczasowym zawodzie lub orzeczenie powiatowego (lub wojewódzkiego) zespołu ds. orzekania o niepełnosprawności, </w:t>
      </w:r>
      <w:r>
        <w:rPr>
          <w:rFonts w:ascii="Calibri" w:hAnsi="Calibri" w:cs="Arial"/>
          <w:sz w:val="16"/>
          <w:szCs w:val="16"/>
        </w:rPr>
        <w:br/>
      </w:r>
      <w:r w:rsidR="00884157" w:rsidRPr="00731AD9">
        <w:rPr>
          <w:rFonts w:ascii="Calibri" w:hAnsi="Calibri" w:cs="Arial"/>
          <w:sz w:val="16"/>
          <w:szCs w:val="16"/>
        </w:rPr>
        <w:t xml:space="preserve">w którym orzeczono o celowości przekwalifikowania zawodowego osoby niepełnosprawnej, − zostały poniesione na terytorium Rzeczypospolitej Polskiej </w:t>
      </w:r>
      <w:r>
        <w:rPr>
          <w:rFonts w:ascii="Calibri" w:hAnsi="Calibri" w:cs="Arial"/>
          <w:sz w:val="16"/>
          <w:szCs w:val="16"/>
        </w:rPr>
        <w:br/>
      </w:r>
      <w:r w:rsidR="00884157" w:rsidRPr="00731AD9">
        <w:rPr>
          <w:rFonts w:ascii="Calibri" w:hAnsi="Calibri" w:cs="Arial"/>
          <w:sz w:val="16"/>
          <w:szCs w:val="16"/>
        </w:rPr>
        <w:t>w okresie nie dłuższym niż dwa lata o</w:t>
      </w:r>
      <w:r w:rsidR="00921787">
        <w:rPr>
          <w:rFonts w:ascii="Calibri" w:hAnsi="Calibri" w:cs="Arial"/>
          <w:sz w:val="16"/>
          <w:szCs w:val="16"/>
        </w:rPr>
        <w:t>d daty nieszczęśliwego wypadku.</w:t>
      </w:r>
    </w:p>
    <w:p w:rsidR="004C19EA" w:rsidRDefault="004C19EA" w:rsidP="004C19EA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  <w:t>U</w:t>
      </w:r>
      <w:r w:rsidR="00884157" w:rsidRPr="00731AD9">
        <w:rPr>
          <w:rFonts w:ascii="Calibri" w:hAnsi="Calibri" w:cs="Arial"/>
          <w:b/>
          <w:sz w:val="16"/>
          <w:szCs w:val="16"/>
        </w:rPr>
        <w:t>szczerbek na zdrowiu w wyniku ataku padaczki</w:t>
      </w:r>
      <w:r w:rsidR="00884157" w:rsidRPr="00731AD9">
        <w:rPr>
          <w:rFonts w:ascii="Calibri" w:hAnsi="Calibri" w:cs="Arial"/>
          <w:sz w:val="16"/>
          <w:szCs w:val="16"/>
        </w:rPr>
        <w:t xml:space="preserve"> </w:t>
      </w:r>
    </w:p>
    <w:p w:rsidR="00884157" w:rsidRPr="00731AD9" w:rsidRDefault="00884157" w:rsidP="004C19EA">
      <w:pPr>
        <w:pStyle w:val="Tekstpodstawowywcity2"/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zakres ochrony obejmuje jednorazowe świadczenie </w:t>
      </w:r>
      <w:proofErr w:type="gramStart"/>
      <w:r w:rsidRPr="00731AD9">
        <w:rPr>
          <w:rFonts w:ascii="Calibri" w:hAnsi="Calibri" w:cs="Arial"/>
          <w:sz w:val="16"/>
          <w:szCs w:val="16"/>
        </w:rPr>
        <w:t>równe   wysokości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sumy ubezpieczenia określonej w umowie ubezpieczenia, pod warunkiem, iż padaczka została zdiagnozowana w okre</w:t>
      </w:r>
      <w:r w:rsidR="00921787">
        <w:rPr>
          <w:rFonts w:ascii="Calibri" w:hAnsi="Calibri" w:cs="Arial"/>
          <w:sz w:val="16"/>
          <w:szCs w:val="16"/>
        </w:rPr>
        <w:t>sie trwania umowy ubezpieczenia.</w:t>
      </w:r>
    </w:p>
    <w:p w:rsidR="00884157" w:rsidRPr="00731AD9" w:rsidRDefault="004C19EA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lastRenderedPageBreak/>
        <w:br/>
      </w:r>
      <w:r w:rsidR="00884157" w:rsidRPr="00731AD9">
        <w:rPr>
          <w:rFonts w:ascii="Calibri" w:hAnsi="Calibri" w:cs="Arial"/>
          <w:b/>
          <w:sz w:val="16"/>
          <w:szCs w:val="16"/>
        </w:rPr>
        <w:t>Uszkodzenia ciała w następstwie nieszczęśliwego wypadku</w:t>
      </w:r>
      <w:r w:rsidR="00884157" w:rsidRPr="00731AD9">
        <w:rPr>
          <w:rFonts w:ascii="Calibri" w:hAnsi="Calibri" w:cs="Arial"/>
          <w:sz w:val="16"/>
          <w:szCs w:val="16"/>
        </w:rPr>
        <w:t>, które wymagały interwencji lekarskiej w placówce medycznej i co najmniej jednej wizyty kontrolnej a nie pozostawiły trwałego uszczerbku na zd</w:t>
      </w:r>
      <w:r w:rsidR="00921787">
        <w:rPr>
          <w:rFonts w:ascii="Calibri" w:hAnsi="Calibri" w:cs="Arial"/>
          <w:sz w:val="16"/>
          <w:szCs w:val="16"/>
        </w:rPr>
        <w:t>rowiu.</w:t>
      </w:r>
    </w:p>
    <w:p w:rsidR="004C19EA" w:rsidRDefault="00884157" w:rsidP="004C19EA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b/>
          <w:sz w:val="16"/>
          <w:szCs w:val="16"/>
        </w:rPr>
        <w:t>Wstrząśnienie mózgu w wyniku nieszczęśliwego wypadku</w:t>
      </w:r>
      <w:r w:rsidRPr="00731AD9">
        <w:rPr>
          <w:rFonts w:ascii="Calibri" w:hAnsi="Calibri" w:cs="Arial"/>
          <w:sz w:val="16"/>
          <w:szCs w:val="16"/>
        </w:rPr>
        <w:t xml:space="preserve"> </w:t>
      </w:r>
    </w:p>
    <w:p w:rsidR="00884157" w:rsidRPr="00731AD9" w:rsidRDefault="00884157" w:rsidP="004C19EA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w przypadku wstrząśnienia mózgu w następstwie nieszczęśliwego wypadku w </w:t>
      </w:r>
      <w:proofErr w:type="gramStart"/>
      <w:r w:rsidRPr="00731AD9">
        <w:rPr>
          <w:rFonts w:ascii="Calibri" w:hAnsi="Calibri" w:cs="Arial"/>
          <w:sz w:val="16"/>
          <w:szCs w:val="16"/>
        </w:rPr>
        <w:t>wyniku którego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Ubezpieczony przebywał w szpitalu minimum 2 dni – przysługuje jednorazowe świadczenie w wysokości sumy ubezpieczenia ok</w:t>
      </w:r>
      <w:r w:rsidR="00921787">
        <w:rPr>
          <w:rFonts w:ascii="Calibri" w:hAnsi="Calibri" w:cs="Arial"/>
          <w:sz w:val="16"/>
          <w:szCs w:val="16"/>
        </w:rPr>
        <w:t>reślonej w umowie ubezpieczenia.</w:t>
      </w:r>
    </w:p>
    <w:p w:rsidR="00884157" w:rsidRPr="00731AD9" w:rsidRDefault="004C19EA" w:rsidP="00884157">
      <w:pPr>
        <w:pStyle w:val="Tekstpodstawowywcity2"/>
        <w:tabs>
          <w:tab w:val="left" w:pos="142"/>
        </w:tabs>
        <w:autoSpaceDN w:val="0"/>
        <w:spacing w:line="240" w:lineRule="auto"/>
        <w:ind w:left="0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br/>
      </w:r>
      <w:r w:rsidR="00884157" w:rsidRPr="00731AD9">
        <w:rPr>
          <w:rFonts w:ascii="Calibri" w:hAnsi="Calibri" w:cs="Arial"/>
          <w:b/>
          <w:sz w:val="16"/>
          <w:szCs w:val="16"/>
        </w:rPr>
        <w:t>Zdiagnozowanie u Ubezpieczonego sepsy</w:t>
      </w:r>
      <w:r w:rsidR="00884157" w:rsidRPr="00731AD9">
        <w:rPr>
          <w:rFonts w:ascii="Calibri" w:hAnsi="Calibri" w:cs="Arial"/>
          <w:sz w:val="16"/>
          <w:szCs w:val="16"/>
        </w:rPr>
        <w:t xml:space="preserve"> Wykonawca wypłaci jednorazowe świadczenie w wysokości sumy ubezpieczenia określonej w umowie ubezpieczenia, pod warunkiem, iż sepsa została zdiagnozowana w okresie trwania ochrony ubezpieczeniowej</w:t>
      </w:r>
      <w:r w:rsidR="00921787">
        <w:rPr>
          <w:rFonts w:ascii="Calibri" w:hAnsi="Calibri" w:cs="Arial"/>
          <w:sz w:val="16"/>
          <w:szCs w:val="16"/>
        </w:rPr>
        <w:t>.</w:t>
      </w:r>
      <w:bookmarkStart w:id="0" w:name="_GoBack"/>
      <w:bookmarkEnd w:id="0"/>
    </w:p>
    <w:p w:rsidR="00884157" w:rsidRPr="00731AD9" w:rsidRDefault="004C19EA" w:rsidP="004C19EA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C</w:t>
      </w:r>
      <w:r w:rsidR="00884157" w:rsidRPr="00731AD9">
        <w:rPr>
          <w:rFonts w:ascii="Calibri" w:hAnsi="Calibri" w:cs="Arial"/>
          <w:b/>
          <w:sz w:val="16"/>
          <w:szCs w:val="16"/>
        </w:rPr>
        <w:t>zasowa niezdolność Ubezpieczonego do nauki lub pracy</w:t>
      </w:r>
      <w:r w:rsidR="00884157" w:rsidRPr="00731AD9">
        <w:rPr>
          <w:rFonts w:ascii="Calibri" w:hAnsi="Calibri" w:cs="Arial"/>
          <w:sz w:val="16"/>
          <w:szCs w:val="16"/>
        </w:rPr>
        <w:t xml:space="preserve"> </w:t>
      </w:r>
      <w:r w:rsidR="00884157" w:rsidRPr="00731AD9">
        <w:rPr>
          <w:rFonts w:ascii="Calibri" w:hAnsi="Calibri" w:cs="Arial"/>
          <w:b/>
          <w:sz w:val="16"/>
          <w:szCs w:val="16"/>
        </w:rPr>
        <w:t>w wyniku nieszczęśliwego wypadku</w:t>
      </w:r>
    </w:p>
    <w:p w:rsidR="00884157" w:rsidRPr="00731AD9" w:rsidRDefault="00884157" w:rsidP="004C19EA">
      <w:pPr>
        <w:pStyle w:val="Tekstpodstawowywcity2"/>
        <w:tabs>
          <w:tab w:val="left" w:pos="142"/>
        </w:tabs>
        <w:autoSpaceDN w:val="0"/>
        <w:spacing w:after="0"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>zakres ochrony ubezpieczeniowej obe</w:t>
      </w:r>
      <w:r w:rsidR="00970076">
        <w:rPr>
          <w:rFonts w:ascii="Calibri" w:hAnsi="Calibri" w:cs="Arial"/>
          <w:sz w:val="16"/>
          <w:szCs w:val="16"/>
        </w:rPr>
        <w:t xml:space="preserve">jmuje świadczenie w </w:t>
      </w:r>
      <w:proofErr w:type="gramStart"/>
      <w:r w:rsidR="00970076">
        <w:rPr>
          <w:rFonts w:ascii="Calibri" w:hAnsi="Calibri" w:cs="Arial"/>
          <w:sz w:val="16"/>
          <w:szCs w:val="16"/>
        </w:rPr>
        <w:t>wysokości  6</w:t>
      </w:r>
      <w:r w:rsidRPr="00731AD9">
        <w:rPr>
          <w:rFonts w:ascii="Calibri" w:hAnsi="Calibri" w:cs="Arial"/>
          <w:sz w:val="16"/>
          <w:szCs w:val="16"/>
        </w:rPr>
        <w:t>zł</w:t>
      </w:r>
      <w:proofErr w:type="gramEnd"/>
      <w:r w:rsidRPr="00731AD9">
        <w:rPr>
          <w:rFonts w:ascii="Calibri" w:hAnsi="Calibri" w:cs="Arial"/>
          <w:sz w:val="16"/>
          <w:szCs w:val="16"/>
        </w:rPr>
        <w:t>, za każdy dzień czasowej niezdolności do pracy lub nauki, powstałej w następstwie nieszczęśliwego wypadku, który wydarzył się podczas trwania ochrony ubezpieczeniowej, począwszy od:</w:t>
      </w:r>
    </w:p>
    <w:p w:rsidR="004C19EA" w:rsidRDefault="00884157" w:rsidP="004C19EA">
      <w:pPr>
        <w:pStyle w:val="Tekstpodstawowywcity2"/>
        <w:numPr>
          <w:ilvl w:val="0"/>
          <w:numId w:val="11"/>
        </w:numPr>
        <w:spacing w:line="240" w:lineRule="auto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10-go dnia czasowej niezdolności Ubezpieczonego do pracy lub nauki, w </w:t>
      </w:r>
      <w:proofErr w:type="gramStart"/>
      <w:r w:rsidRPr="00731AD9">
        <w:rPr>
          <w:rFonts w:ascii="Calibri" w:hAnsi="Calibri" w:cs="Arial"/>
          <w:sz w:val="16"/>
          <w:szCs w:val="16"/>
        </w:rPr>
        <w:t>przypadku gdy</w:t>
      </w:r>
      <w:proofErr w:type="gramEnd"/>
      <w:r w:rsidRPr="00731AD9">
        <w:rPr>
          <w:rFonts w:ascii="Calibri" w:hAnsi="Calibri" w:cs="Arial"/>
          <w:sz w:val="16"/>
          <w:szCs w:val="16"/>
        </w:rPr>
        <w:t xml:space="preserve"> czasowa niezdolność Ubezpieczonego do pracy lub nauki trwała nieprzerwanie </w:t>
      </w:r>
      <w:r w:rsidRPr="00731AD9">
        <w:rPr>
          <w:rFonts w:ascii="Calibri" w:hAnsi="Calibri" w:cs="Arial"/>
          <w:sz w:val="16"/>
          <w:szCs w:val="16"/>
          <w:u w:val="single"/>
        </w:rPr>
        <w:t>do 30 dni</w:t>
      </w:r>
      <w:r w:rsidRPr="00731AD9">
        <w:rPr>
          <w:rFonts w:ascii="Calibri" w:hAnsi="Calibri" w:cs="Arial"/>
          <w:sz w:val="16"/>
          <w:szCs w:val="16"/>
        </w:rPr>
        <w:t>, za wyjątkiem dni wolnych od nauki lub pracy,</w:t>
      </w:r>
    </w:p>
    <w:p w:rsidR="00884157" w:rsidRPr="004C19EA" w:rsidRDefault="00884157" w:rsidP="004C19EA">
      <w:pPr>
        <w:pStyle w:val="Tekstpodstawowywcity2"/>
        <w:numPr>
          <w:ilvl w:val="0"/>
          <w:numId w:val="11"/>
        </w:numPr>
        <w:spacing w:line="240" w:lineRule="auto"/>
        <w:jc w:val="both"/>
        <w:rPr>
          <w:sz w:val="16"/>
          <w:szCs w:val="16"/>
        </w:rPr>
      </w:pPr>
      <w:r w:rsidRPr="004C19EA">
        <w:rPr>
          <w:rFonts w:ascii="Calibri" w:hAnsi="Calibri" w:cs="Arial"/>
          <w:sz w:val="16"/>
          <w:szCs w:val="16"/>
        </w:rPr>
        <w:t xml:space="preserve">1-go dnia czasowej niezdolności Ubezpieczonego do pracy lub nauki, w </w:t>
      </w:r>
      <w:proofErr w:type="gramStart"/>
      <w:r w:rsidRPr="004C19EA">
        <w:rPr>
          <w:rFonts w:ascii="Calibri" w:hAnsi="Calibri" w:cs="Arial"/>
          <w:sz w:val="16"/>
          <w:szCs w:val="16"/>
        </w:rPr>
        <w:t>przypadku gdy</w:t>
      </w:r>
      <w:proofErr w:type="gramEnd"/>
      <w:r w:rsidRPr="004C19EA">
        <w:rPr>
          <w:rFonts w:ascii="Calibri" w:hAnsi="Calibri" w:cs="Arial"/>
          <w:sz w:val="16"/>
          <w:szCs w:val="16"/>
        </w:rPr>
        <w:t xml:space="preserve"> czasowa niezdolność Ubezpieczonego do pracy lub nauki trwała nieprzerwanie </w:t>
      </w:r>
      <w:r w:rsidRPr="004C19EA">
        <w:rPr>
          <w:rFonts w:ascii="Calibri" w:hAnsi="Calibri" w:cs="Arial"/>
          <w:sz w:val="16"/>
          <w:szCs w:val="16"/>
          <w:u w:val="single"/>
        </w:rPr>
        <w:t>powyżej 30 dni</w:t>
      </w:r>
      <w:r w:rsidRPr="004C19EA">
        <w:rPr>
          <w:rFonts w:ascii="Calibri" w:hAnsi="Calibri" w:cs="Arial"/>
          <w:sz w:val="16"/>
          <w:szCs w:val="16"/>
        </w:rPr>
        <w:t>, za wyjątkiem dni wolnych od nauki lub pracy.</w:t>
      </w:r>
    </w:p>
    <w:p w:rsidR="00884157" w:rsidRPr="00731AD9" w:rsidRDefault="00884157" w:rsidP="004C19EA">
      <w:pPr>
        <w:pStyle w:val="Tekstpodstawowywcity2"/>
        <w:spacing w:line="240" w:lineRule="auto"/>
        <w:ind w:left="0"/>
        <w:jc w:val="both"/>
        <w:rPr>
          <w:sz w:val="16"/>
          <w:szCs w:val="16"/>
        </w:rPr>
      </w:pPr>
      <w:r w:rsidRPr="00731AD9">
        <w:rPr>
          <w:rFonts w:ascii="Calibri" w:hAnsi="Calibri" w:cs="Arial"/>
          <w:sz w:val="16"/>
          <w:szCs w:val="16"/>
        </w:rPr>
        <w:t xml:space="preserve">Świadczenia przysługuje maksymalnie za 2 miesięcy czasowej niezdolności Ubezpieczonego do pracy lub nauki w okresie trwania ochrony ubezpieczeniowej </w:t>
      </w:r>
      <w:r w:rsidR="004C19EA">
        <w:rPr>
          <w:rFonts w:ascii="Calibri" w:hAnsi="Calibri" w:cs="Arial"/>
          <w:sz w:val="16"/>
          <w:szCs w:val="16"/>
        </w:rPr>
        <w:br/>
      </w:r>
      <w:r w:rsidRPr="00731AD9">
        <w:rPr>
          <w:rFonts w:ascii="Calibri" w:hAnsi="Calibri" w:cs="Arial"/>
          <w:sz w:val="16"/>
          <w:szCs w:val="16"/>
        </w:rPr>
        <w:t>i musi być potwierdzone zaświadczeniem wydanym przez lekarza.</w:t>
      </w:r>
    </w:p>
    <w:p w:rsidR="00884157" w:rsidRPr="00731AD9" w:rsidRDefault="00884157" w:rsidP="00884157">
      <w:pPr>
        <w:suppressAutoHyphens/>
        <w:autoSpaceDN w:val="0"/>
        <w:textAlignment w:val="baseline"/>
      </w:pPr>
      <w:r w:rsidRPr="00731AD9">
        <w:rPr>
          <w:rFonts w:ascii="Calibri" w:hAnsi="Calibri"/>
          <w:b/>
        </w:rPr>
        <w:t>Odpowiedzialność cywilna studentów</w:t>
      </w:r>
    </w:p>
    <w:p w:rsidR="00884157" w:rsidRPr="00731AD9" w:rsidRDefault="00884157" w:rsidP="00884157">
      <w:pPr>
        <w:widowControl w:val="0"/>
        <w:tabs>
          <w:tab w:val="left" w:pos="792"/>
        </w:tabs>
        <w:suppressAutoHyphens/>
        <w:autoSpaceDE w:val="0"/>
        <w:autoSpaceDN w:val="0"/>
        <w:textAlignment w:val="baseline"/>
        <w:rPr>
          <w:rFonts w:ascii="Calibri" w:hAnsi="Calibri"/>
          <w:b/>
        </w:rPr>
      </w:pPr>
      <w:r w:rsidRPr="00731AD9">
        <w:rPr>
          <w:rFonts w:ascii="Calibri" w:hAnsi="Calibri"/>
        </w:rPr>
        <w:t xml:space="preserve">W ubezpieczeniu odpowiedzialności cywilnej studentów Wykonawca odpowiada </w:t>
      </w:r>
      <w:r w:rsidRPr="00731AD9">
        <w:rPr>
          <w:rFonts w:ascii="Calibri" w:hAnsi="Calibri"/>
          <w:bCs/>
        </w:rPr>
        <w:t>za wypadki ubezpieczeniowe zaistniałe w okresie ubezpieczenia, z których roszczenia zostaną zgłoszone przed upływem ustawowego terminu przedawnienia roszczeń.</w:t>
      </w:r>
    </w:p>
    <w:p w:rsidR="00884157" w:rsidRPr="00731AD9" w:rsidRDefault="004C19EA" w:rsidP="00884157">
      <w:pPr>
        <w:tabs>
          <w:tab w:val="left" w:pos="792"/>
        </w:tabs>
        <w:suppressAutoHyphens/>
        <w:autoSpaceDN w:val="0"/>
        <w:textAlignment w:val="baseline"/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Klauzula dodatkowa usługi </w:t>
      </w:r>
      <w:proofErr w:type="spellStart"/>
      <w:r w:rsidR="00884157" w:rsidRPr="00731AD9">
        <w:rPr>
          <w:rFonts w:ascii="Calibri" w:hAnsi="Calibri"/>
          <w:b/>
        </w:rPr>
        <w:t>assistance</w:t>
      </w:r>
      <w:proofErr w:type="spellEnd"/>
      <w:r w:rsidR="00884157" w:rsidRPr="00731AD9">
        <w:rPr>
          <w:rFonts w:ascii="Calibri" w:hAnsi="Calibri"/>
          <w:b/>
        </w:rPr>
        <w:t xml:space="preserve"> – </w:t>
      </w:r>
      <w:r w:rsidR="00884157" w:rsidRPr="00731AD9">
        <w:rPr>
          <w:rFonts w:ascii="Calibri" w:hAnsi="Calibri"/>
        </w:rPr>
        <w:t xml:space="preserve">zakres ochrony ubezpieczeniowej zostaje rozszerzony o usługi </w:t>
      </w:r>
      <w:proofErr w:type="spellStart"/>
      <w:r w:rsidR="00884157" w:rsidRPr="00731AD9">
        <w:rPr>
          <w:rFonts w:ascii="Calibri" w:hAnsi="Calibri"/>
        </w:rPr>
        <w:t>assistance</w:t>
      </w:r>
      <w:proofErr w:type="spellEnd"/>
      <w:r w:rsidR="00884157" w:rsidRPr="00731AD9">
        <w:rPr>
          <w:rFonts w:ascii="Calibri" w:hAnsi="Calibri"/>
        </w:rPr>
        <w:t xml:space="preserve"> w świadczone na terenie RP w następującym zakresie:</w:t>
      </w:r>
    </w:p>
    <w:p w:rsidR="004C19EA" w:rsidRPr="004C19EA" w:rsidRDefault="00884157" w:rsidP="00884157">
      <w:pPr>
        <w:pStyle w:val="Akapitzlist"/>
        <w:numPr>
          <w:ilvl w:val="0"/>
          <w:numId w:val="8"/>
        </w:numPr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wizyta</w:t>
      </w:r>
      <w:proofErr w:type="gramEnd"/>
      <w:r w:rsidRPr="004C19EA">
        <w:rPr>
          <w:rFonts w:ascii="Calibri" w:hAnsi="Calibri"/>
          <w:sz w:val="16"/>
          <w:szCs w:val="16"/>
        </w:rPr>
        <w:t xml:space="preserve"> lekarza w miejscu pobytu ubezpieczonego – organizacja i pokrycie kosztów dojazdu do lekarza oraz jego honorarium za wizytę, LIMIT DO 100ZŁ</w:t>
      </w:r>
    </w:p>
    <w:p w:rsidR="004C19EA" w:rsidRPr="004C19EA" w:rsidRDefault="00884157" w:rsidP="00884157">
      <w:pPr>
        <w:pStyle w:val="Akapitzlist"/>
        <w:numPr>
          <w:ilvl w:val="0"/>
          <w:numId w:val="8"/>
        </w:numPr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wizyta</w:t>
      </w:r>
      <w:proofErr w:type="gramEnd"/>
      <w:r w:rsidRPr="004C19EA">
        <w:rPr>
          <w:rFonts w:ascii="Calibri" w:hAnsi="Calibri"/>
          <w:sz w:val="16"/>
          <w:szCs w:val="16"/>
        </w:rPr>
        <w:t xml:space="preserve"> pielęgniarki w miejscu pobytu ubezpieczonego – organizacja i pokrycie kosztów dojazdu pielęgniarki oraz jej honorarium za pierwszą wizytę, LIMIT DO 500ZŁ</w:t>
      </w:r>
    </w:p>
    <w:p w:rsidR="004C19EA" w:rsidRPr="004C19EA" w:rsidRDefault="00884157" w:rsidP="00884157">
      <w:pPr>
        <w:pStyle w:val="Akapitzlist"/>
        <w:numPr>
          <w:ilvl w:val="0"/>
          <w:numId w:val="8"/>
        </w:numPr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organizacja</w:t>
      </w:r>
      <w:proofErr w:type="gramEnd"/>
      <w:r w:rsidRPr="004C19EA">
        <w:rPr>
          <w:rFonts w:ascii="Calibri" w:hAnsi="Calibri"/>
          <w:sz w:val="16"/>
          <w:szCs w:val="16"/>
        </w:rPr>
        <w:t xml:space="preserve"> i pokrycie kosztów transportu ubezpieczonego do placówki medycznej po zaistnieniu nieszczęśliwego wypadku lub innego zdarzenia objętego ochrona ubezpieczeniową. LIMIT DO 2000ZŁ</w:t>
      </w:r>
    </w:p>
    <w:p w:rsidR="00884157" w:rsidRPr="004C19EA" w:rsidRDefault="00884157" w:rsidP="00884157">
      <w:pPr>
        <w:pStyle w:val="Akapitzlist"/>
        <w:numPr>
          <w:ilvl w:val="0"/>
          <w:numId w:val="8"/>
        </w:numPr>
        <w:rPr>
          <w:rFonts w:ascii="Calibri" w:hAnsi="Calibri"/>
          <w:sz w:val="16"/>
          <w:szCs w:val="16"/>
        </w:rPr>
      </w:pPr>
      <w:proofErr w:type="gramStart"/>
      <w:r w:rsidRPr="004C19EA">
        <w:rPr>
          <w:rFonts w:ascii="Calibri" w:hAnsi="Calibri"/>
          <w:sz w:val="16"/>
          <w:szCs w:val="16"/>
        </w:rPr>
        <w:t>opieka</w:t>
      </w:r>
      <w:proofErr w:type="gramEnd"/>
      <w:r w:rsidRPr="004C19EA">
        <w:rPr>
          <w:rFonts w:ascii="Calibri" w:hAnsi="Calibri"/>
          <w:sz w:val="16"/>
          <w:szCs w:val="16"/>
        </w:rPr>
        <w:t xml:space="preserve"> pielęgniarki w domu chorego po hospitalizacji do 24h w wyniku NNW-LIMIT 1000ZŁ</w:t>
      </w:r>
    </w:p>
    <w:p w:rsidR="00884157" w:rsidRPr="00731AD9" w:rsidRDefault="004C19EA" w:rsidP="00884157">
      <w:pPr>
        <w:tabs>
          <w:tab w:val="left" w:pos="792"/>
        </w:tabs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>Zwrot kosztów badań na obecność wirusa HIV, WZW</w:t>
      </w:r>
    </w:p>
    <w:p w:rsidR="00884157" w:rsidRPr="00731AD9" w:rsidRDefault="00884157" w:rsidP="00884157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</w:rPr>
        <w:t>Wykonawca zwraca koszty poniesione na konsultacje lekarskie i wykonanie badań na obecność wirusów HIV. Refundacji podlegają udokumentowane oryginalnymi rachunkami i dowodami zapłaty koszty, które zostały poniesione w związku ze zdarzeniem polegającym na narażeniu ubezpieczonego studenta na zakażenie wirusem HIV, WZW podczas kształcenia praktycznego.</w:t>
      </w:r>
    </w:p>
    <w:p w:rsidR="00884157" w:rsidRPr="00731AD9" w:rsidRDefault="00884157" w:rsidP="00884157">
      <w:pPr>
        <w:tabs>
          <w:tab w:val="left" w:pos="1440"/>
        </w:tabs>
        <w:rPr>
          <w:rFonts w:ascii="Calibri" w:hAnsi="Calibri"/>
        </w:rPr>
      </w:pPr>
      <w:r w:rsidRPr="00731AD9">
        <w:rPr>
          <w:rFonts w:ascii="Calibri" w:hAnsi="Calibri"/>
        </w:rPr>
        <w:t>Ochrona ubezpieczeniowa w tym zakresie dotyczy wyłącznie studentów kierunków ratownictwo medyczne, pielęgniarstwo oraz fizjoterapię. Suma ubezpieczenia 1000zł</w:t>
      </w:r>
      <w:r w:rsidR="004C19EA">
        <w:rPr>
          <w:rFonts w:ascii="Calibri" w:hAnsi="Calibri"/>
        </w:rPr>
        <w:t>.</w:t>
      </w:r>
    </w:p>
    <w:p w:rsidR="00884157" w:rsidRPr="00731AD9" w:rsidRDefault="004C19EA" w:rsidP="00884157">
      <w:pPr>
        <w:tabs>
          <w:tab w:val="left" w:pos="1440"/>
        </w:tabs>
        <w:rPr>
          <w:rFonts w:ascii="Calibri" w:hAnsi="Calibri"/>
        </w:rPr>
      </w:pPr>
      <w:r>
        <w:rPr>
          <w:rFonts w:ascii="Calibri" w:hAnsi="Calibri"/>
          <w:b/>
        </w:rPr>
        <w:br/>
      </w:r>
      <w:r w:rsidR="00884157" w:rsidRPr="00731AD9">
        <w:rPr>
          <w:rFonts w:ascii="Calibri" w:hAnsi="Calibri"/>
          <w:b/>
        </w:rPr>
        <w:t xml:space="preserve">Zwrot kosztów leczenia w postępowaniu </w:t>
      </w:r>
      <w:proofErr w:type="spellStart"/>
      <w:r w:rsidR="00884157" w:rsidRPr="00731AD9">
        <w:rPr>
          <w:rFonts w:ascii="Calibri" w:hAnsi="Calibri"/>
          <w:b/>
        </w:rPr>
        <w:t>poekspozycyjnym</w:t>
      </w:r>
      <w:proofErr w:type="spellEnd"/>
      <w:r w:rsidR="00884157" w:rsidRPr="00731AD9">
        <w:rPr>
          <w:rFonts w:ascii="Calibri" w:hAnsi="Calibri"/>
          <w:b/>
        </w:rPr>
        <w:t xml:space="preserve"> w związku z ryzykiem zakażenia wirusem HIV, WZW</w:t>
      </w:r>
    </w:p>
    <w:p w:rsidR="00884157" w:rsidRDefault="00884157" w:rsidP="00BE5661">
      <w:pPr>
        <w:tabs>
          <w:tab w:val="left" w:pos="1440"/>
        </w:tabs>
        <w:rPr>
          <w:b/>
          <w:lang w:eastAsia="ar-SA"/>
        </w:rPr>
      </w:pPr>
      <w:r w:rsidRPr="00731AD9">
        <w:rPr>
          <w:rFonts w:ascii="Calibri" w:hAnsi="Calibri"/>
        </w:rPr>
        <w:t xml:space="preserve">Wykonawca zwraca koszty poniesione na leczenie w postępowaniu </w:t>
      </w:r>
      <w:proofErr w:type="spellStart"/>
      <w:r w:rsidRPr="00731AD9">
        <w:rPr>
          <w:rFonts w:ascii="Calibri" w:hAnsi="Calibri"/>
        </w:rPr>
        <w:t>poekspozycyjnym</w:t>
      </w:r>
      <w:proofErr w:type="spellEnd"/>
      <w:r w:rsidRPr="00731AD9">
        <w:rPr>
          <w:rFonts w:ascii="Calibri" w:hAnsi="Calibri"/>
        </w:rPr>
        <w:t xml:space="preserve"> w związku z ryzykiem zakażenia studentów wirusem HIV</w:t>
      </w:r>
      <w:proofErr w:type="gramStart"/>
      <w:r w:rsidRPr="00731AD9">
        <w:rPr>
          <w:rFonts w:ascii="Calibri" w:hAnsi="Calibri"/>
        </w:rPr>
        <w:t>,WZW</w:t>
      </w:r>
      <w:proofErr w:type="gramEnd"/>
      <w:r w:rsidRPr="00731AD9">
        <w:rPr>
          <w:rFonts w:ascii="Calibri" w:hAnsi="Calibri"/>
        </w:rPr>
        <w:t>. Refundacji podlegają udokumentowane oryginalnymi rachunkami i dowodami zapłaty koszty, które zostały poniesione w związku ze zdarzeniem polegającym na polegającego na narażeniu ubezpieczonego studenta na zakażenie wirusem HIV, WZW podczas kształcenia praktycznego. Suma ubezpieczenia 3 000zł</w:t>
      </w:r>
      <w:r w:rsidR="004C19EA">
        <w:rPr>
          <w:rFonts w:ascii="Calibri" w:hAnsi="Calibri"/>
        </w:rPr>
        <w:t>.</w:t>
      </w:r>
    </w:p>
    <w:p w:rsidR="00884157" w:rsidRDefault="00884157" w:rsidP="00884157">
      <w:pPr>
        <w:suppressAutoHyphens/>
        <w:ind w:left="360"/>
        <w:jc w:val="center"/>
        <w:rPr>
          <w:b/>
          <w:lang w:eastAsia="ar-SA"/>
        </w:rPr>
      </w:pPr>
    </w:p>
    <w:p w:rsidR="004C19EA" w:rsidRDefault="004C19EA" w:rsidP="00884157">
      <w:pPr>
        <w:suppressAutoHyphens/>
        <w:ind w:left="360"/>
        <w:jc w:val="center"/>
        <w:rPr>
          <w:b/>
          <w:lang w:eastAsia="ar-SA"/>
        </w:rPr>
      </w:pPr>
    </w:p>
    <w:p w:rsidR="004C19EA" w:rsidRDefault="004C19EA" w:rsidP="00884157">
      <w:pPr>
        <w:suppressAutoHyphens/>
        <w:ind w:left="360"/>
        <w:jc w:val="center"/>
        <w:rPr>
          <w:b/>
          <w:lang w:eastAsia="ar-SA"/>
        </w:rPr>
      </w:pPr>
    </w:p>
    <w:p w:rsidR="00884157" w:rsidRPr="00731AD9" w:rsidRDefault="00884157" w:rsidP="00884157">
      <w:pPr>
        <w:suppressAutoHyphens/>
        <w:ind w:left="360"/>
        <w:jc w:val="center"/>
        <w:rPr>
          <w:b/>
          <w:lang w:eastAsia="ar-SA"/>
        </w:rPr>
      </w:pPr>
      <w:r w:rsidRPr="00731AD9">
        <w:rPr>
          <w:b/>
          <w:lang w:eastAsia="ar-SA"/>
        </w:rPr>
        <w:t>Realizacja świadczeń</w:t>
      </w:r>
    </w:p>
    <w:p w:rsidR="00884157" w:rsidRPr="00731AD9" w:rsidRDefault="00884157" w:rsidP="00884157">
      <w:pPr>
        <w:suppressAutoHyphens/>
        <w:rPr>
          <w:lang w:eastAsia="ar-SA"/>
        </w:rPr>
      </w:pPr>
      <w:r w:rsidRPr="00731AD9">
        <w:rPr>
          <w:lang w:eastAsia="ar-SA"/>
        </w:rPr>
        <w:t xml:space="preserve">Instrukcja szkodowa - Ustalenie wysokości należnego świadczenia odbywa się na podstawie pisemnego zgłoszenia wypadku podpisanego przez Ubezpieczonego oraz dokumentacji medycznej ( system bez powoływania komisji lekarskiej). W przypadku braku akceptacji przez Ubezpieczonego takiego orzeczenia, powoływana będzie komisja lekarska. </w:t>
      </w:r>
    </w:p>
    <w:p w:rsidR="00884157" w:rsidRPr="004C19EA" w:rsidRDefault="004C19EA" w:rsidP="00884157">
      <w:pPr>
        <w:suppressAutoHyphens/>
        <w:rPr>
          <w:b/>
          <w:lang w:eastAsia="ar-SA"/>
        </w:rPr>
      </w:pPr>
      <w:r>
        <w:rPr>
          <w:b/>
          <w:lang w:eastAsia="ar-SA"/>
        </w:rPr>
        <w:br/>
      </w:r>
      <w:r w:rsidR="00884157" w:rsidRPr="004C19EA">
        <w:rPr>
          <w:b/>
          <w:lang w:eastAsia="ar-SA"/>
        </w:rPr>
        <w:t>Zgłoszenia szkód:</w:t>
      </w:r>
    </w:p>
    <w:p w:rsidR="004C19EA" w:rsidRPr="004C19EA" w:rsidRDefault="00884157" w:rsidP="00884157">
      <w:pPr>
        <w:pStyle w:val="Akapitzlist"/>
        <w:numPr>
          <w:ilvl w:val="0"/>
          <w:numId w:val="7"/>
        </w:numPr>
        <w:suppressAutoHyphens/>
        <w:rPr>
          <w:sz w:val="16"/>
          <w:szCs w:val="16"/>
          <w:lang w:eastAsia="ar-SA"/>
        </w:rPr>
      </w:pPr>
      <w:proofErr w:type="gramStart"/>
      <w:r w:rsidRPr="004C19EA">
        <w:rPr>
          <w:sz w:val="16"/>
          <w:szCs w:val="16"/>
          <w:lang w:eastAsia="ar-SA"/>
        </w:rPr>
        <w:t>telefonicznie</w:t>
      </w:r>
      <w:proofErr w:type="gramEnd"/>
      <w:r w:rsidRPr="004C19EA">
        <w:rPr>
          <w:sz w:val="16"/>
          <w:szCs w:val="16"/>
          <w:lang w:eastAsia="ar-SA"/>
        </w:rPr>
        <w:t xml:space="preserve"> za pośrednictwem Call Center pod nr telefonu 22 212-20-12,</w:t>
      </w:r>
    </w:p>
    <w:p w:rsidR="004C19EA" w:rsidRDefault="00884157" w:rsidP="00884157">
      <w:pPr>
        <w:pStyle w:val="Akapitzlist"/>
        <w:numPr>
          <w:ilvl w:val="0"/>
          <w:numId w:val="7"/>
        </w:numPr>
        <w:suppressAutoHyphens/>
        <w:rPr>
          <w:sz w:val="16"/>
          <w:szCs w:val="16"/>
          <w:lang w:eastAsia="ar-SA"/>
        </w:rPr>
      </w:pPr>
      <w:r w:rsidRPr="004C19EA">
        <w:rPr>
          <w:sz w:val="16"/>
          <w:szCs w:val="16"/>
          <w:lang w:eastAsia="ar-SA"/>
        </w:rPr>
        <w:t xml:space="preserve">osobiście w dowolnej </w:t>
      </w:r>
      <w:r w:rsidR="004C19EA">
        <w:rPr>
          <w:sz w:val="16"/>
          <w:szCs w:val="16"/>
          <w:lang w:eastAsia="ar-SA"/>
        </w:rPr>
        <w:t xml:space="preserve">jednostce terenowej </w:t>
      </w:r>
      <w:proofErr w:type="spellStart"/>
      <w:r w:rsidR="004C19EA">
        <w:rPr>
          <w:sz w:val="16"/>
          <w:szCs w:val="16"/>
          <w:lang w:eastAsia="ar-SA"/>
        </w:rPr>
        <w:t>InterRisk</w:t>
      </w:r>
      <w:proofErr w:type="gramStart"/>
      <w:r w:rsidR="004C19EA">
        <w:rPr>
          <w:sz w:val="16"/>
          <w:szCs w:val="16"/>
          <w:lang w:eastAsia="ar-SA"/>
        </w:rPr>
        <w:t>,</w:t>
      </w:r>
    </w:p>
    <w:p w:rsidR="004C19EA" w:rsidRPr="004C19EA" w:rsidRDefault="00884157" w:rsidP="00884157">
      <w:pPr>
        <w:pStyle w:val="Akapitzlist"/>
        <w:numPr>
          <w:ilvl w:val="0"/>
          <w:numId w:val="7"/>
        </w:numPr>
        <w:suppressAutoHyphens/>
        <w:rPr>
          <w:sz w:val="16"/>
          <w:szCs w:val="16"/>
          <w:lang w:eastAsia="ar-SA"/>
        </w:rPr>
      </w:pPr>
      <w:proofErr w:type="spellEnd"/>
      <w:r w:rsidRPr="004C19EA">
        <w:rPr>
          <w:sz w:val="16"/>
          <w:szCs w:val="16"/>
          <w:lang w:eastAsia="ar-SA"/>
        </w:rPr>
        <w:t>pisemnie</w:t>
      </w:r>
      <w:proofErr w:type="gramEnd"/>
      <w:r w:rsidRPr="004C19EA">
        <w:rPr>
          <w:sz w:val="16"/>
          <w:szCs w:val="16"/>
          <w:lang w:eastAsia="ar-SA"/>
        </w:rPr>
        <w:t xml:space="preserve"> – pocztą tradycyjną na adres: Spółdzielnia Usługowa VIG Ekspert Call Center, Aleje Jeroz</w:t>
      </w:r>
      <w:r w:rsidR="004C19EA" w:rsidRPr="004C19EA">
        <w:rPr>
          <w:sz w:val="16"/>
          <w:szCs w:val="16"/>
          <w:lang w:eastAsia="ar-SA"/>
        </w:rPr>
        <w:t xml:space="preserve">olimskie 162, 02-342 </w:t>
      </w:r>
      <w:proofErr w:type="spellStart"/>
      <w:r w:rsidR="004C19EA" w:rsidRPr="004C19EA">
        <w:rPr>
          <w:sz w:val="16"/>
          <w:szCs w:val="16"/>
          <w:lang w:eastAsia="ar-SA"/>
        </w:rPr>
        <w:t>Warszawa,</w:t>
      </w:r>
    </w:p>
    <w:p w:rsidR="004C19EA" w:rsidRDefault="00884157" w:rsidP="00884157">
      <w:pPr>
        <w:pStyle w:val="Akapitzlist"/>
        <w:numPr>
          <w:ilvl w:val="0"/>
          <w:numId w:val="7"/>
        </w:numPr>
        <w:suppressAutoHyphens/>
        <w:rPr>
          <w:sz w:val="16"/>
          <w:szCs w:val="16"/>
          <w:lang w:eastAsia="ar-SA"/>
        </w:rPr>
      </w:pPr>
      <w:proofErr w:type="spellEnd"/>
      <w:proofErr w:type="gramStart"/>
      <w:r w:rsidRPr="004C19EA">
        <w:rPr>
          <w:sz w:val="16"/>
          <w:szCs w:val="16"/>
          <w:lang w:eastAsia="ar-SA"/>
        </w:rPr>
        <w:t>pisemnie</w:t>
      </w:r>
      <w:proofErr w:type="gramEnd"/>
      <w:r w:rsidRPr="004C19EA">
        <w:rPr>
          <w:sz w:val="16"/>
          <w:szCs w:val="16"/>
          <w:lang w:eastAsia="ar-SA"/>
        </w:rPr>
        <w:t xml:space="preserve"> – pocztą elektroniczn</w:t>
      </w:r>
      <w:r w:rsidR="004C19EA">
        <w:rPr>
          <w:sz w:val="16"/>
          <w:szCs w:val="16"/>
          <w:lang w:eastAsia="ar-SA"/>
        </w:rPr>
        <w:t>ą</w:t>
      </w:r>
      <w:r w:rsidRPr="004C19EA">
        <w:rPr>
          <w:sz w:val="16"/>
          <w:szCs w:val="16"/>
          <w:lang w:eastAsia="ar-SA"/>
        </w:rPr>
        <w:t xml:space="preserve"> na adres: </w:t>
      </w:r>
      <w:hyperlink r:id="rId8" w:history="1">
        <w:r w:rsidRPr="004C19EA">
          <w:rPr>
            <w:rStyle w:val="Hipercze"/>
            <w:sz w:val="16"/>
            <w:szCs w:val="16"/>
            <w:lang w:eastAsia="ar-SA"/>
          </w:rPr>
          <w:t>interrisk.szkody@vigekspert.pl</w:t>
        </w:r>
      </w:hyperlink>
      <w:r w:rsidRPr="004C19EA">
        <w:rPr>
          <w:sz w:val="16"/>
          <w:szCs w:val="16"/>
          <w:lang w:eastAsia="ar-SA"/>
        </w:rPr>
        <w:t>,</w:t>
      </w:r>
    </w:p>
    <w:p w:rsidR="00884157" w:rsidRPr="004C19EA" w:rsidRDefault="004C19EA" w:rsidP="00884157">
      <w:pPr>
        <w:pStyle w:val="Akapitzlist"/>
        <w:numPr>
          <w:ilvl w:val="0"/>
          <w:numId w:val="7"/>
        </w:numPr>
        <w:suppressAutoHyphens/>
        <w:rPr>
          <w:sz w:val="16"/>
          <w:szCs w:val="16"/>
          <w:lang w:eastAsia="ar-SA"/>
        </w:rPr>
      </w:pPr>
      <w:proofErr w:type="gramStart"/>
      <w:r w:rsidRPr="004C19EA">
        <w:rPr>
          <w:sz w:val="16"/>
          <w:szCs w:val="16"/>
          <w:lang w:eastAsia="ar-SA"/>
        </w:rPr>
        <w:t>o</w:t>
      </w:r>
      <w:r w:rsidR="00884157" w:rsidRPr="004C19EA">
        <w:rPr>
          <w:sz w:val="16"/>
          <w:szCs w:val="16"/>
          <w:lang w:eastAsia="ar-SA"/>
        </w:rPr>
        <w:t>nline</w:t>
      </w:r>
      <w:proofErr w:type="gramEnd"/>
      <w:r w:rsidR="00884157" w:rsidRPr="004C19EA">
        <w:rPr>
          <w:sz w:val="16"/>
          <w:szCs w:val="16"/>
          <w:lang w:eastAsia="ar-SA"/>
        </w:rPr>
        <w:t xml:space="preserve"> – ze strony internetow</w:t>
      </w:r>
      <w:r w:rsidRPr="004C19EA">
        <w:rPr>
          <w:sz w:val="16"/>
          <w:szCs w:val="16"/>
          <w:lang w:eastAsia="ar-SA"/>
        </w:rPr>
        <w:t xml:space="preserve">ej: </w:t>
      </w:r>
      <w:hyperlink r:id="rId9" w:history="1">
        <w:r w:rsidRPr="004C19EA">
          <w:rPr>
            <w:rStyle w:val="Hipercze"/>
            <w:sz w:val="16"/>
            <w:szCs w:val="16"/>
            <w:lang w:eastAsia="ar-SA"/>
          </w:rPr>
          <w:t>http://interrisk.pl</w:t>
        </w:r>
      </w:hyperlink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Default="004C19EA" w:rsidP="00884157">
      <w:pPr>
        <w:suppressAutoHyphens/>
        <w:rPr>
          <w:lang w:eastAsia="ar-SA"/>
        </w:rPr>
      </w:pPr>
    </w:p>
    <w:p w:rsidR="004C19EA" w:rsidRPr="00731AD9" w:rsidRDefault="004C19EA" w:rsidP="00884157">
      <w:pPr>
        <w:suppressAutoHyphens/>
        <w:rPr>
          <w:lang w:eastAsia="ar-SA"/>
        </w:rPr>
      </w:pPr>
    </w:p>
    <w:p w:rsidR="00884157" w:rsidRPr="00731AD9" w:rsidRDefault="00884157" w:rsidP="00884157">
      <w:pPr>
        <w:rPr>
          <w:rFonts w:ascii="Calibri" w:hAnsi="Calibri"/>
          <w:b/>
          <w:bCs/>
        </w:rPr>
      </w:pPr>
    </w:p>
    <w:tbl>
      <w:tblPr>
        <w:tblW w:w="9630" w:type="dxa"/>
        <w:jc w:val="center"/>
        <w:tblBorders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439"/>
        <w:gridCol w:w="3244"/>
      </w:tblGrid>
      <w:tr w:rsidR="00884157" w:rsidRPr="00731AD9" w:rsidTr="00BE5661">
        <w:trPr>
          <w:trHeight w:val="290"/>
          <w:jc w:val="center"/>
        </w:trPr>
        <w:tc>
          <w:tcPr>
            <w:tcW w:w="2947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FFFFFF"/>
            <w:vAlign w:val="center"/>
            <w:hideMark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</w:rPr>
            </w:pPr>
            <w:r w:rsidRPr="00731AD9">
              <w:rPr>
                <w:b/>
              </w:rPr>
              <w:t>Ubezpieczyciel</w:t>
            </w:r>
          </w:p>
        </w:tc>
        <w:tc>
          <w:tcPr>
            <w:tcW w:w="343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FFFFF"/>
            <w:hideMark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  <w:color w:val="FF0000"/>
              </w:rPr>
            </w:pPr>
            <w:r w:rsidRPr="00731AD9">
              <w:rPr>
                <w:b/>
                <w:color w:val="FF0000"/>
              </w:rPr>
              <w:t>Osoba k</w:t>
            </w:r>
            <w:r>
              <w:rPr>
                <w:b/>
                <w:color w:val="FF0000"/>
              </w:rPr>
              <w:t>oordynująca ubezpieczenie w PSW</w:t>
            </w:r>
          </w:p>
        </w:tc>
        <w:tc>
          <w:tcPr>
            <w:tcW w:w="324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shd w:val="clear" w:color="auto" w:fill="FFFFFF"/>
            <w:vAlign w:val="center"/>
            <w:hideMark/>
          </w:tcPr>
          <w:p w:rsidR="00884157" w:rsidRPr="00731AD9" w:rsidRDefault="00884157" w:rsidP="002D1B9A">
            <w:pPr>
              <w:tabs>
                <w:tab w:val="right" w:pos="3240"/>
              </w:tabs>
              <w:jc w:val="center"/>
              <w:rPr>
                <w:b/>
              </w:rPr>
            </w:pPr>
            <w:r w:rsidRPr="00731AD9">
              <w:rPr>
                <w:b/>
              </w:rPr>
              <w:t>Broker ubezpieczeniowy</w:t>
            </w:r>
          </w:p>
        </w:tc>
      </w:tr>
      <w:tr w:rsidR="00BE5661" w:rsidRPr="00731AD9" w:rsidTr="00BE5661">
        <w:trPr>
          <w:trHeight w:val="290"/>
          <w:jc w:val="center"/>
        </w:trPr>
        <w:tc>
          <w:tcPr>
            <w:tcW w:w="2947" w:type="dxa"/>
            <w:tcBorders>
              <w:top w:val="single" w:sz="12" w:space="0" w:color="0000FF"/>
              <w:left w:val="nil"/>
              <w:bottom w:val="single" w:sz="12" w:space="0" w:color="0000FF"/>
              <w:right w:val="single" w:sz="12" w:space="0" w:color="0000FF"/>
            </w:tcBorders>
            <w:shd w:val="clear" w:color="auto" w:fill="FFFFFF"/>
            <w:vAlign w:val="center"/>
          </w:tcPr>
          <w:p w:rsidR="00BE5661" w:rsidRPr="00731AD9" w:rsidRDefault="00BE5661" w:rsidP="00BE5661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</w:t>
            </w:r>
            <w:r w:rsidRPr="00731AD9">
              <w:rPr>
                <w:b/>
                <w:lang w:val="en-US"/>
              </w:rPr>
              <w:t>nterRisk</w:t>
            </w:r>
            <w:proofErr w:type="spellEnd"/>
            <w:r w:rsidRPr="00731AD9">
              <w:rPr>
                <w:b/>
                <w:lang w:val="en-US"/>
              </w:rPr>
              <w:t xml:space="preserve"> TU S.A.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r w:rsidRPr="00731AD9">
              <w:rPr>
                <w:b/>
                <w:lang w:val="en-US"/>
              </w:rPr>
              <w:t>Vienna Insurance Group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ul</w:t>
            </w:r>
            <w:proofErr w:type="gramEnd"/>
            <w:r w:rsidRPr="00731AD9">
              <w:t>. Noakowskiego 22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r w:rsidRPr="00731AD9">
              <w:t>00-668 Warszawa</w:t>
            </w:r>
          </w:p>
          <w:p w:rsidR="00BE5661" w:rsidRDefault="00BE5661" w:rsidP="00BE5661">
            <w:pPr>
              <w:tabs>
                <w:tab w:val="right" w:pos="3240"/>
              </w:tabs>
              <w:jc w:val="center"/>
            </w:pPr>
            <w:r>
              <w:t xml:space="preserve">I </w:t>
            </w:r>
            <w:r w:rsidRPr="00731AD9">
              <w:t>Oddziału w Lublinie</w:t>
            </w:r>
          </w:p>
          <w:p w:rsidR="00BE5661" w:rsidRDefault="00BE5661" w:rsidP="00BE5661">
            <w:pPr>
              <w:tabs>
                <w:tab w:val="right" w:pos="3240"/>
              </w:tabs>
              <w:jc w:val="center"/>
            </w:pPr>
            <w:r>
              <w:t>20-102 Lublin</w:t>
            </w:r>
          </w:p>
          <w:p w:rsidR="00BE5661" w:rsidRDefault="00BE5661" w:rsidP="00BE5661">
            <w:pPr>
              <w:tabs>
                <w:tab w:val="right" w:pos="3240"/>
              </w:tabs>
              <w:jc w:val="center"/>
            </w:pPr>
            <w:proofErr w:type="gramStart"/>
            <w:r>
              <w:t>ul</w:t>
            </w:r>
            <w:proofErr w:type="gramEnd"/>
            <w:r>
              <w:t xml:space="preserve"> Zamojska 47,tel 81 533 06 01</w:t>
            </w:r>
          </w:p>
          <w:p w:rsidR="00BE5661" w:rsidRDefault="00BE5661" w:rsidP="00BE5661">
            <w:pPr>
              <w:tabs>
                <w:tab w:val="right" w:pos="3240"/>
              </w:tabs>
              <w:jc w:val="center"/>
            </w:pPr>
            <w:r>
              <w:t>Tel: 81 533 06 01</w:t>
            </w:r>
          </w:p>
          <w:p w:rsidR="00BE5661" w:rsidRDefault="00BE5661" w:rsidP="00BE5661">
            <w:pPr>
              <w:tabs>
                <w:tab w:val="right" w:pos="3240"/>
              </w:tabs>
              <w:jc w:val="center"/>
              <w:rPr>
                <w:b/>
              </w:rPr>
            </w:pPr>
            <w:r>
              <w:t>81 534 86</w:t>
            </w:r>
          </w:p>
          <w:p w:rsidR="00BE5661" w:rsidRDefault="00BE5661" w:rsidP="002D1B9A">
            <w:pPr>
              <w:tabs>
                <w:tab w:val="right" w:pos="3240"/>
              </w:tabs>
              <w:jc w:val="center"/>
              <w:rPr>
                <w:b/>
              </w:rPr>
            </w:pPr>
          </w:p>
          <w:p w:rsidR="00BE5661" w:rsidRPr="00731AD9" w:rsidRDefault="00BE5661" w:rsidP="002D1B9A">
            <w:pPr>
              <w:tabs>
                <w:tab w:val="right" w:pos="3240"/>
              </w:tabs>
              <w:jc w:val="center"/>
              <w:rPr>
                <w:b/>
              </w:rPr>
            </w:pPr>
          </w:p>
        </w:tc>
        <w:tc>
          <w:tcPr>
            <w:tcW w:w="343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FFFFFF"/>
          </w:tcPr>
          <w:p w:rsidR="00BE5661" w:rsidRDefault="004C19EA" w:rsidP="002D1B9A">
            <w:pPr>
              <w:tabs>
                <w:tab w:val="right" w:pos="324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Anna Bogusz</w:t>
            </w:r>
          </w:p>
          <w:p w:rsidR="004C19EA" w:rsidRDefault="004C19EA" w:rsidP="002D1B9A">
            <w:pPr>
              <w:tabs>
                <w:tab w:val="right" w:pos="3240"/>
              </w:tabs>
              <w:jc w:val="center"/>
              <w:rPr>
                <w:b/>
                <w:color w:val="FF0000"/>
              </w:rPr>
            </w:pPr>
          </w:p>
          <w:p w:rsidR="004C19EA" w:rsidRPr="004C19EA" w:rsidRDefault="004C19EA" w:rsidP="002D1B9A">
            <w:pPr>
              <w:tabs>
                <w:tab w:val="right" w:pos="3240"/>
              </w:tabs>
              <w:jc w:val="center"/>
              <w:rPr>
                <w:color w:val="FF0000"/>
              </w:rPr>
            </w:pPr>
            <w:r w:rsidRPr="004C19EA">
              <w:rPr>
                <w:color w:val="FF0000"/>
              </w:rPr>
              <w:t>Tel. 83 344 99 54</w:t>
            </w:r>
          </w:p>
          <w:p w:rsidR="004C19EA" w:rsidRDefault="004C19EA" w:rsidP="002D1B9A">
            <w:pPr>
              <w:tabs>
                <w:tab w:val="right" w:pos="3240"/>
              </w:tabs>
              <w:jc w:val="center"/>
              <w:rPr>
                <w:color w:val="FF0000"/>
              </w:rPr>
            </w:pPr>
            <w:proofErr w:type="gramStart"/>
            <w:r w:rsidRPr="004C19EA">
              <w:rPr>
                <w:color w:val="FF0000"/>
              </w:rPr>
              <w:t>e-mail</w:t>
            </w:r>
            <w:proofErr w:type="gramEnd"/>
            <w:r w:rsidRPr="004C19EA">
              <w:rPr>
                <w:color w:val="FF0000"/>
              </w:rPr>
              <w:t xml:space="preserve">: </w:t>
            </w:r>
            <w:hyperlink r:id="rId10" w:history="1">
              <w:r w:rsidRPr="00FB3BDB">
                <w:rPr>
                  <w:rStyle w:val="Hipercze"/>
                </w:rPr>
                <w:t>a.bogusz@pswbp.pl</w:t>
              </w:r>
            </w:hyperlink>
          </w:p>
          <w:p w:rsidR="004C19EA" w:rsidRPr="00731AD9" w:rsidRDefault="004C19EA" w:rsidP="002D1B9A">
            <w:pPr>
              <w:tabs>
                <w:tab w:val="right" w:pos="324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324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nil"/>
            </w:tcBorders>
            <w:shd w:val="clear" w:color="auto" w:fill="FFFFFF"/>
            <w:vAlign w:val="center"/>
          </w:tcPr>
          <w:p w:rsidR="00BE5661" w:rsidRPr="00731AD9" w:rsidRDefault="00BE5661" w:rsidP="00BE5661">
            <w:pPr>
              <w:tabs>
                <w:tab w:val="right" w:pos="3240"/>
              </w:tabs>
              <w:jc w:val="center"/>
              <w:rPr>
                <w:b/>
                <w:lang w:val="en-US"/>
              </w:rPr>
            </w:pPr>
            <w:r w:rsidRPr="00731AD9">
              <w:rPr>
                <w:b/>
                <w:lang w:val="en-US"/>
              </w:rPr>
              <w:t xml:space="preserve">Inter-Broker Sp. z </w:t>
            </w:r>
            <w:proofErr w:type="spellStart"/>
            <w:r w:rsidRPr="00731AD9">
              <w:rPr>
                <w:b/>
                <w:lang w:val="en-US"/>
              </w:rPr>
              <w:t>o.o</w:t>
            </w:r>
            <w:proofErr w:type="spellEnd"/>
            <w:r w:rsidRPr="00731AD9">
              <w:rPr>
                <w:b/>
                <w:lang w:val="en-US"/>
              </w:rPr>
              <w:t>.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ul</w:t>
            </w:r>
            <w:proofErr w:type="gramEnd"/>
            <w:r w:rsidRPr="00731AD9">
              <w:t>. Żeglarska 31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r w:rsidRPr="00731AD9">
              <w:t>87-100 Toruń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tel</w:t>
            </w:r>
            <w:proofErr w:type="gramEnd"/>
            <w:r w:rsidRPr="00731AD9">
              <w:t>. 56 658 42 60</w:t>
            </w:r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</w:pPr>
            <w:proofErr w:type="gramStart"/>
            <w:r w:rsidRPr="00731AD9">
              <w:t>faks</w:t>
            </w:r>
            <w:proofErr w:type="gramEnd"/>
            <w:r w:rsidRPr="00731AD9">
              <w:t>: 56 658 42 61</w:t>
            </w:r>
          </w:p>
          <w:p w:rsidR="00BE5661" w:rsidRPr="00731AD9" w:rsidRDefault="00BE5661" w:rsidP="00BE5661">
            <w:pPr>
              <w:jc w:val="center"/>
              <w:rPr>
                <w:rStyle w:val="Hipercze"/>
              </w:rPr>
            </w:pPr>
            <w:proofErr w:type="gramStart"/>
            <w:r w:rsidRPr="00731AD9">
              <w:t>mail</w:t>
            </w:r>
            <w:proofErr w:type="gramEnd"/>
            <w:r w:rsidRPr="00731AD9">
              <w:t xml:space="preserve">: </w:t>
            </w:r>
            <w:hyperlink r:id="rId11" w:history="1">
              <w:r w:rsidRPr="00731AD9">
                <w:rPr>
                  <w:rStyle w:val="Hipercze"/>
                </w:rPr>
                <w:t>interbroker@interbroker.pl</w:t>
              </w:r>
            </w:hyperlink>
          </w:p>
          <w:p w:rsidR="00BE5661" w:rsidRDefault="00BE5661" w:rsidP="00BE5661">
            <w:pPr>
              <w:tabs>
                <w:tab w:val="left" w:pos="825"/>
                <w:tab w:val="right" w:pos="3240"/>
              </w:tabs>
              <w:jc w:val="center"/>
            </w:pPr>
            <w:r w:rsidRPr="00731AD9">
              <w:t>Oddział Biała Podlaska</w:t>
            </w:r>
          </w:p>
          <w:p w:rsidR="00BE5661" w:rsidRPr="00731AD9" w:rsidRDefault="00BE5661" w:rsidP="00BE5661">
            <w:pPr>
              <w:tabs>
                <w:tab w:val="left" w:pos="825"/>
                <w:tab w:val="right" w:pos="3240"/>
              </w:tabs>
              <w:jc w:val="center"/>
            </w:pPr>
          </w:p>
          <w:p w:rsidR="00BE5661" w:rsidRPr="00731AD9" w:rsidRDefault="00BE5661" w:rsidP="00BE5661">
            <w:pPr>
              <w:jc w:val="center"/>
              <w:rPr>
                <w:color w:val="0070C0"/>
                <w:u w:val="single"/>
              </w:rPr>
            </w:pPr>
            <w:r w:rsidRPr="00731AD9">
              <w:t>mail</w:t>
            </w:r>
            <w:proofErr w:type="gramStart"/>
            <w:r w:rsidRPr="00731AD9">
              <w:t>:</w:t>
            </w:r>
            <w:r w:rsidRPr="00731AD9">
              <w:rPr>
                <w:color w:val="0070C0"/>
                <w:u w:val="single"/>
              </w:rPr>
              <w:t>bialapodlaska</w:t>
            </w:r>
            <w:proofErr w:type="gramEnd"/>
            <w:r w:rsidRPr="00731AD9">
              <w:rPr>
                <w:color w:val="0070C0"/>
                <w:u w:val="single"/>
              </w:rPr>
              <w:t>@interbroker.</w:t>
            </w:r>
            <w:proofErr w:type="gramStart"/>
            <w:r w:rsidRPr="00731AD9">
              <w:rPr>
                <w:color w:val="0070C0"/>
                <w:u w:val="single"/>
              </w:rPr>
              <w:t>pl</w:t>
            </w:r>
            <w:proofErr w:type="gramEnd"/>
          </w:p>
          <w:p w:rsidR="00BE5661" w:rsidRPr="00731AD9" w:rsidRDefault="00BE5661" w:rsidP="00BE5661">
            <w:pPr>
              <w:tabs>
                <w:tab w:val="right" w:pos="3240"/>
              </w:tabs>
              <w:jc w:val="center"/>
              <w:rPr>
                <w:b/>
              </w:rPr>
            </w:pPr>
            <w:proofErr w:type="spellStart"/>
            <w:proofErr w:type="gramStart"/>
            <w:r w:rsidRPr="00731AD9">
              <w:t>tel</w:t>
            </w:r>
            <w:proofErr w:type="spellEnd"/>
            <w:proofErr w:type="gramEnd"/>
            <w:r w:rsidRPr="00731AD9">
              <w:t xml:space="preserve"> 83 343 66 48</w:t>
            </w:r>
          </w:p>
        </w:tc>
      </w:tr>
    </w:tbl>
    <w:p w:rsidR="00884157" w:rsidRPr="00731AD9" w:rsidRDefault="00884157" w:rsidP="00884157">
      <w:pPr>
        <w:pStyle w:val="Akapitzlist"/>
        <w:rPr>
          <w:rFonts w:ascii="Impact" w:hAnsi="Impact" w:cs="Arial"/>
          <w:sz w:val="16"/>
          <w:szCs w:val="16"/>
          <w:lang w:eastAsia="pl-PL"/>
        </w:rPr>
      </w:pPr>
    </w:p>
    <w:p w:rsidR="004C19EA" w:rsidRDefault="00884157" w:rsidP="00884157">
      <w:pPr>
        <w:numPr>
          <w:ilvl w:val="0"/>
          <w:numId w:val="6"/>
        </w:numPr>
      </w:pPr>
      <w:r w:rsidRPr="00731AD9">
        <w:t xml:space="preserve">Kontakt w sprawach roszczeń – osoba koordynującą ubezpieczenie w PSW, </w:t>
      </w:r>
    </w:p>
    <w:p w:rsidR="004C19EA" w:rsidRDefault="00884157" w:rsidP="00884157">
      <w:pPr>
        <w:numPr>
          <w:ilvl w:val="0"/>
          <w:numId w:val="6"/>
        </w:numPr>
      </w:pPr>
      <w:r w:rsidRPr="004C19EA">
        <w:rPr>
          <w:rFonts w:cs="Calibri"/>
          <w:i/>
        </w:rPr>
        <w:t xml:space="preserve">W celu zapoznania się z Ogólnymi Warunkami Ubezpieczenia, SIWZ, ofertą Ubezpieczyciela i pozostałymi dokumentami przetargowymi proszę o kontakt z osobą koordynującą ubezpieczenie w </w:t>
      </w:r>
      <w:proofErr w:type="gramStart"/>
      <w:r w:rsidRPr="004C19EA">
        <w:rPr>
          <w:rFonts w:cs="Calibri"/>
          <w:i/>
        </w:rPr>
        <w:t xml:space="preserve">PSW </w:t>
      </w:r>
      <w:r w:rsidR="004C19EA" w:rsidRPr="004C19EA">
        <w:rPr>
          <w:rFonts w:cs="Calibri"/>
          <w:i/>
        </w:rPr>
        <w:t>.</w:t>
      </w:r>
      <w:proofErr w:type="gramEnd"/>
    </w:p>
    <w:p w:rsidR="00884157" w:rsidRPr="004C19EA" w:rsidRDefault="00BE5661" w:rsidP="00884157">
      <w:pPr>
        <w:numPr>
          <w:ilvl w:val="0"/>
          <w:numId w:val="6"/>
        </w:numPr>
      </w:pPr>
      <w:r w:rsidRPr="00731AD9">
        <w:t xml:space="preserve">Dokument został przygotowany przez Inter Broker </w:t>
      </w:r>
      <w:proofErr w:type="spellStart"/>
      <w:r w:rsidRPr="00731AD9">
        <w:t>Sp</w:t>
      </w:r>
      <w:proofErr w:type="spellEnd"/>
      <w:r w:rsidRPr="00731AD9">
        <w:t xml:space="preserve"> z o.</w:t>
      </w:r>
      <w:proofErr w:type="gramStart"/>
      <w:r w:rsidRPr="00731AD9">
        <w:t>o</w:t>
      </w:r>
      <w:proofErr w:type="gramEnd"/>
      <w:r w:rsidRPr="00731AD9">
        <w:t xml:space="preserve">. </w:t>
      </w:r>
      <w:proofErr w:type="gramStart"/>
      <w:r w:rsidRPr="00731AD9">
        <w:t>w</w:t>
      </w:r>
      <w:proofErr w:type="gramEnd"/>
      <w:r w:rsidRPr="00731AD9">
        <w:t xml:space="preserve"> Toruniu oddziała w Białej Podlaskiej</w:t>
      </w:r>
    </w:p>
    <w:p w:rsidR="00884157" w:rsidRPr="00731AD9" w:rsidRDefault="00884157" w:rsidP="00884157">
      <w:pPr>
        <w:pStyle w:val="NormalnyWeb"/>
        <w:spacing w:before="0" w:beforeAutospacing="0" w:after="0" w:afterAutospacing="0" w:line="320" w:lineRule="exact"/>
        <w:jc w:val="both"/>
        <w:rPr>
          <w:rFonts w:ascii="Arial" w:hAnsi="Arial" w:cs="Arial"/>
          <w:sz w:val="16"/>
          <w:szCs w:val="16"/>
        </w:rPr>
      </w:pPr>
    </w:p>
    <w:p w:rsidR="00884157" w:rsidRPr="00A41D08" w:rsidRDefault="00884157" w:rsidP="00A41D08"/>
    <w:sectPr w:rsidR="00884157" w:rsidRPr="00A41D08" w:rsidSect="00BE5661">
      <w:headerReference w:type="even" r:id="rId12"/>
      <w:headerReference w:type="first" r:id="rId13"/>
      <w:footerReference w:type="first" r:id="rId14"/>
      <w:pgSz w:w="11906" w:h="16838"/>
      <w:pgMar w:top="426" w:right="709" w:bottom="1560" w:left="709" w:header="709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04" w:rsidRDefault="00716104" w:rsidP="00D31D79">
      <w:r>
        <w:separator/>
      </w:r>
    </w:p>
  </w:endnote>
  <w:endnote w:type="continuationSeparator" w:id="0">
    <w:p w:rsidR="00716104" w:rsidRDefault="00716104" w:rsidP="00D3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31" w:rsidRDefault="00884157" w:rsidP="00A35C31">
    <w:pPr>
      <w:pStyle w:val="Stopka"/>
      <w:tabs>
        <w:tab w:val="clear" w:pos="4536"/>
      </w:tabs>
      <w:jc w:val="center"/>
      <w:rPr>
        <w:noProof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F9AA8D0" wp14:editId="4B4B22C1">
          <wp:simplePos x="0" y="0"/>
          <wp:positionH relativeFrom="page">
            <wp:posOffset>106327</wp:posOffset>
          </wp:positionH>
          <wp:positionV relativeFrom="page">
            <wp:posOffset>9239395</wp:posOffset>
          </wp:positionV>
          <wp:extent cx="1297172" cy="1340000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40" cy="1343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C3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81353C" wp14:editId="23E40096">
              <wp:simplePos x="0" y="0"/>
              <wp:positionH relativeFrom="column">
                <wp:posOffset>1152525</wp:posOffset>
              </wp:positionH>
              <wp:positionV relativeFrom="paragraph">
                <wp:posOffset>8890</wp:posOffset>
              </wp:positionV>
              <wp:extent cx="6016978" cy="0"/>
              <wp:effectExtent l="0" t="0" r="22225" b="19050"/>
              <wp:wrapNone/>
              <wp:docPr id="10" name="Łącznik prostoliniow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978" cy="0"/>
                      </a:xfrm>
                      <a:prstGeom prst="line">
                        <a:avLst/>
                      </a:prstGeom>
                      <a:ln>
                        <a:solidFill>
                          <a:srgbClr val="23238B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31D240" id="Łącznik prostoliniowy 10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.7pt" to="564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" strokecolor="#23238b"/>
          </w:pict>
        </mc:Fallback>
      </mc:AlternateContent>
    </w:r>
  </w:p>
  <w:p w:rsidR="00884157" w:rsidRPr="00A35A4E" w:rsidRDefault="00884157" w:rsidP="00884157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</w:t>
    </w:r>
    <w:r w:rsidRPr="00A35A4E">
      <w:rPr>
        <w:color w:val="000000"/>
        <w:sz w:val="18"/>
        <w:szCs w:val="18"/>
      </w:rPr>
      <w:t xml:space="preserve">Oddział w Białej Podlaskiej, ul. Piłsudskiego 38/10, 21-500 Biała Podlaska, Tel/faks. </w:t>
    </w:r>
    <w:r w:rsidRPr="00A35A4E">
      <w:rPr>
        <w:sz w:val="18"/>
        <w:szCs w:val="18"/>
      </w:rPr>
      <w:t>(083) 343-66-48</w:t>
    </w:r>
  </w:p>
  <w:p w:rsidR="00884157" w:rsidRDefault="00884157" w:rsidP="00884157">
    <w:pPr>
      <w:pStyle w:val="Stopka"/>
      <w:tabs>
        <w:tab w:val="clear" w:pos="4536"/>
        <w:tab w:val="clear" w:pos="9072"/>
        <w:tab w:val="right" w:pos="10490"/>
      </w:tabs>
      <w:spacing w:line="280" w:lineRule="exact"/>
      <w:ind w:left="1843"/>
      <w:rPr>
        <w:sz w:val="18"/>
        <w:szCs w:val="18"/>
      </w:rPr>
    </w:pPr>
    <w:proofErr w:type="gramStart"/>
    <w:r>
      <w:rPr>
        <w:sz w:val="18"/>
        <w:szCs w:val="18"/>
      </w:rPr>
      <w:t>e-mail</w:t>
    </w:r>
    <w:proofErr w:type="gramEnd"/>
    <w:r>
      <w:rPr>
        <w:sz w:val="18"/>
        <w:szCs w:val="18"/>
      </w:rPr>
      <w:t>: bialapodlaska@interbroker.</w:t>
    </w:r>
    <w:proofErr w:type="gramStart"/>
    <w:r>
      <w:rPr>
        <w:sz w:val="18"/>
        <w:szCs w:val="18"/>
      </w:rPr>
      <w:t>pl</w:t>
    </w:r>
    <w:proofErr w:type="gramEnd"/>
  </w:p>
  <w:p w:rsidR="00884157" w:rsidRDefault="00884157" w:rsidP="00884157">
    <w:pPr>
      <w:pStyle w:val="Stopka"/>
      <w:tabs>
        <w:tab w:val="clear" w:pos="4536"/>
        <w:tab w:val="clear" w:pos="9072"/>
        <w:tab w:val="right" w:pos="10490"/>
      </w:tabs>
      <w:spacing w:line="280" w:lineRule="exact"/>
      <w:ind w:left="1843"/>
      <w:rPr>
        <w:sz w:val="18"/>
        <w:szCs w:val="18"/>
      </w:rPr>
    </w:pPr>
    <w:r w:rsidRPr="00293D73">
      <w:rPr>
        <w:sz w:val="18"/>
        <w:szCs w:val="18"/>
      </w:rPr>
      <w:t>Inter-Broker Sp. z o.</w:t>
    </w:r>
    <w:proofErr w:type="gramStart"/>
    <w:r w:rsidRPr="00293D73">
      <w:rPr>
        <w:sz w:val="18"/>
        <w:szCs w:val="18"/>
      </w:rPr>
      <w:t>o</w:t>
    </w:r>
    <w:proofErr w:type="gramEnd"/>
    <w:r w:rsidRPr="00293D73">
      <w:rPr>
        <w:sz w:val="18"/>
        <w:szCs w:val="18"/>
      </w:rPr>
      <w:t xml:space="preserve">., </w:t>
    </w:r>
    <w:proofErr w:type="gramStart"/>
    <w:r w:rsidRPr="00293D73">
      <w:rPr>
        <w:sz w:val="18"/>
        <w:szCs w:val="18"/>
      </w:rPr>
      <w:t>ul</w:t>
    </w:r>
    <w:proofErr w:type="gramEnd"/>
    <w:r w:rsidRPr="00293D73">
      <w:rPr>
        <w:sz w:val="18"/>
        <w:szCs w:val="18"/>
      </w:rPr>
      <w:t xml:space="preserve">. Żeglarska 31, 87-100 Toruń, Tel. (056) 658-42-60, Faks (056) 658-42-61, 63, </w:t>
    </w:r>
  </w:p>
  <w:p w:rsidR="00884157" w:rsidRDefault="00884157" w:rsidP="00884157">
    <w:pPr>
      <w:pStyle w:val="Stopka"/>
      <w:tabs>
        <w:tab w:val="clear" w:pos="4536"/>
        <w:tab w:val="clear" w:pos="9072"/>
        <w:tab w:val="right" w:pos="10490"/>
      </w:tabs>
      <w:spacing w:line="280" w:lineRule="exact"/>
      <w:ind w:left="1843"/>
      <w:rPr>
        <w:sz w:val="18"/>
        <w:szCs w:val="18"/>
      </w:rPr>
    </w:pPr>
    <w:proofErr w:type="gramStart"/>
    <w:r w:rsidRPr="00293D73">
      <w:rPr>
        <w:sz w:val="18"/>
        <w:szCs w:val="18"/>
      </w:rPr>
      <w:t>e-mail</w:t>
    </w:r>
    <w:proofErr w:type="gramEnd"/>
    <w:r w:rsidRPr="00293D73">
      <w:rPr>
        <w:sz w:val="18"/>
        <w:szCs w:val="18"/>
      </w:rPr>
      <w:t>: interbroker@interbroker.</w:t>
    </w:r>
    <w:proofErr w:type="gramStart"/>
    <w:r w:rsidRPr="00293D73">
      <w:rPr>
        <w:sz w:val="18"/>
        <w:szCs w:val="18"/>
      </w:rPr>
      <w:t>pl</w:t>
    </w:r>
    <w:proofErr w:type="gramEnd"/>
    <w:r w:rsidRPr="00293D73">
      <w:rPr>
        <w:sz w:val="18"/>
        <w:szCs w:val="18"/>
      </w:rPr>
      <w:t>, www.</w:t>
    </w:r>
    <w:proofErr w:type="gramStart"/>
    <w:r w:rsidRPr="00293D73">
      <w:rPr>
        <w:sz w:val="18"/>
        <w:szCs w:val="18"/>
      </w:rPr>
      <w:t>interbroker</w:t>
    </w:r>
    <w:proofErr w:type="gramEnd"/>
    <w:r w:rsidRPr="00293D73">
      <w:rPr>
        <w:sz w:val="18"/>
        <w:szCs w:val="18"/>
      </w:rPr>
      <w:t>.</w:t>
    </w:r>
    <w:proofErr w:type="gramStart"/>
    <w:r w:rsidRPr="00293D73">
      <w:rPr>
        <w:sz w:val="18"/>
        <w:szCs w:val="18"/>
      </w:rPr>
      <w:t>pl</w:t>
    </w:r>
    <w:proofErr w:type="gramEnd"/>
    <w:r w:rsidRPr="00293D73">
      <w:rPr>
        <w:sz w:val="18"/>
        <w:szCs w:val="18"/>
      </w:rPr>
      <w:t xml:space="preserve">, KRS 0000180910 Sąd Rejonowy w Toruniu, </w:t>
    </w:r>
  </w:p>
  <w:p w:rsidR="00884157" w:rsidRPr="00DE1A8E" w:rsidRDefault="00884157" w:rsidP="00884157">
    <w:pPr>
      <w:pStyle w:val="Stopka"/>
      <w:tabs>
        <w:tab w:val="clear" w:pos="4536"/>
        <w:tab w:val="clear" w:pos="9072"/>
        <w:tab w:val="right" w:pos="10490"/>
      </w:tabs>
      <w:spacing w:line="280" w:lineRule="exact"/>
      <w:ind w:left="1843"/>
    </w:pPr>
    <w:r w:rsidRPr="00293D73">
      <w:rPr>
        <w:sz w:val="18"/>
        <w:szCs w:val="18"/>
      </w:rPr>
      <w:t>VII Wydział Gospodarczy KRS, NIP: 879-101-30-31, Kapitał zakładowy: 62 500,00 zł</w:t>
    </w:r>
  </w:p>
  <w:p w:rsidR="00A35C31" w:rsidRDefault="00A35C31">
    <w:pPr>
      <w:pStyle w:val="Stopka"/>
    </w:pPr>
  </w:p>
  <w:p w:rsidR="00A35C31" w:rsidRDefault="00A35C31" w:rsidP="00884157">
    <w:pPr>
      <w:pStyle w:val="Stopka"/>
      <w:tabs>
        <w:tab w:val="clear" w:pos="4536"/>
        <w:tab w:val="clear" w:pos="9072"/>
        <w:tab w:val="left" w:pos="336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04" w:rsidRDefault="00716104" w:rsidP="00D31D79">
      <w:r>
        <w:separator/>
      </w:r>
    </w:p>
  </w:footnote>
  <w:footnote w:type="continuationSeparator" w:id="0">
    <w:p w:rsidR="00716104" w:rsidRDefault="00716104" w:rsidP="00D3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A8E" w:rsidRDefault="0092178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62662" o:spid="_x0000_s2105" type="#_x0000_t75" style="position:absolute;margin-left:0;margin-top:0;width:788.65pt;height:857.75pt;z-index:-251657216;mso-position-horizontal:center;mso-position-horizontal-relative:margin;mso-position-vertical:center;mso-position-vertical-relative:margin" o:allowincell="f">
          <v:imagedata r:id="rId1" o:title="papier firmowy_AKCEP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31" w:rsidRDefault="00A35C31" w:rsidP="00A35C31">
    <w:pPr>
      <w:pStyle w:val="Nagwek"/>
      <w:tabs>
        <w:tab w:val="clear" w:pos="4536"/>
        <w:tab w:val="clear" w:pos="9072"/>
        <w:tab w:val="right" w:pos="2127"/>
        <w:tab w:val="right" w:pos="10490"/>
      </w:tabs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515732" wp14:editId="0B8B0118">
              <wp:simplePos x="0" y="0"/>
              <wp:positionH relativeFrom="column">
                <wp:posOffset>2788920</wp:posOffset>
              </wp:positionH>
              <wp:positionV relativeFrom="paragraph">
                <wp:posOffset>542925</wp:posOffset>
              </wp:positionV>
              <wp:extent cx="4380230" cy="0"/>
              <wp:effectExtent l="0" t="0" r="2032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80230" cy="0"/>
                      </a:xfrm>
                      <a:prstGeom prst="line">
                        <a:avLst/>
                      </a:prstGeom>
                      <a:ln>
                        <a:solidFill>
                          <a:srgbClr val="2323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69CC5C" id="Łącznik prostoliniowy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6pt,42.75pt" to="564.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" strokecolor="#23238b"/>
          </w:pict>
        </mc:Fallback>
      </mc:AlternateContent>
    </w:r>
    <w:r>
      <w:rPr>
        <w:noProof/>
      </w:rPr>
      <w:drawing>
        <wp:inline distT="0" distB="0" distL="0" distR="0" wp14:anchorId="6EB5A6B8" wp14:editId="49C9D91A">
          <wp:extent cx="2018896" cy="633936"/>
          <wp:effectExtent l="0" t="0" r="635" b="0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_logo_wybrane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812" cy="64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A35C31" w:rsidRPr="007A2DF0" w:rsidRDefault="00A35C31" w:rsidP="00A35C31">
    <w:pPr>
      <w:pStyle w:val="Nagwek"/>
      <w:tabs>
        <w:tab w:val="clear" w:pos="4536"/>
        <w:tab w:val="clear" w:pos="9072"/>
        <w:tab w:val="right" w:pos="2127"/>
        <w:tab w:val="right" w:pos="10490"/>
      </w:tabs>
      <w:rPr>
        <w:sz w:val="24"/>
        <w:szCs w:val="24"/>
      </w:rPr>
    </w:pPr>
  </w:p>
  <w:p w:rsidR="00A35C31" w:rsidRDefault="00A35C31">
    <w:pPr>
      <w:pStyle w:val="Nagwek"/>
    </w:pPr>
  </w:p>
  <w:p w:rsidR="00A35C31" w:rsidRDefault="00A35C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clip_image001"/>
      </v:shape>
    </w:pict>
  </w:numPicBullet>
  <w:abstractNum w:abstractNumId="0" w15:restartNumberingAfterBreak="0">
    <w:nsid w:val="1F0D7E62"/>
    <w:multiLevelType w:val="hybridMultilevel"/>
    <w:tmpl w:val="AA4E0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72F7"/>
    <w:multiLevelType w:val="hybridMultilevel"/>
    <w:tmpl w:val="7A58E95A"/>
    <w:lvl w:ilvl="0" w:tplc="C37E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0F14"/>
    <w:multiLevelType w:val="hybridMultilevel"/>
    <w:tmpl w:val="518AAE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5F06A86"/>
    <w:multiLevelType w:val="hybridMultilevel"/>
    <w:tmpl w:val="AEBAA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60AAD"/>
    <w:multiLevelType w:val="hybridMultilevel"/>
    <w:tmpl w:val="A5682D38"/>
    <w:lvl w:ilvl="0" w:tplc="C37E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B7FB6"/>
    <w:multiLevelType w:val="hybridMultilevel"/>
    <w:tmpl w:val="6ACED07A"/>
    <w:lvl w:ilvl="0" w:tplc="DD56CF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7B74"/>
    <w:multiLevelType w:val="multilevel"/>
    <w:tmpl w:val="E032792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5ACE597C"/>
    <w:multiLevelType w:val="hybridMultilevel"/>
    <w:tmpl w:val="81343F38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BD51BC7"/>
    <w:multiLevelType w:val="hybridMultilevel"/>
    <w:tmpl w:val="A76A0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E649C"/>
    <w:multiLevelType w:val="multilevel"/>
    <w:tmpl w:val="DBCE0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255"/>
  <w:hyphenationZone w:val="425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79"/>
    <w:rsid w:val="00012BCB"/>
    <w:rsid w:val="00036FB7"/>
    <w:rsid w:val="0007129E"/>
    <w:rsid w:val="00084B70"/>
    <w:rsid w:val="000A10C4"/>
    <w:rsid w:val="000D4036"/>
    <w:rsid w:val="000E6191"/>
    <w:rsid w:val="00132EDA"/>
    <w:rsid w:val="00137C34"/>
    <w:rsid w:val="001B4B07"/>
    <w:rsid w:val="001E17CC"/>
    <w:rsid w:val="0027180B"/>
    <w:rsid w:val="00293D73"/>
    <w:rsid w:val="002B096D"/>
    <w:rsid w:val="002D2025"/>
    <w:rsid w:val="002E7B97"/>
    <w:rsid w:val="00310B54"/>
    <w:rsid w:val="00321F7D"/>
    <w:rsid w:val="00363290"/>
    <w:rsid w:val="00367926"/>
    <w:rsid w:val="00376AE1"/>
    <w:rsid w:val="003A60CF"/>
    <w:rsid w:val="003B6103"/>
    <w:rsid w:val="0044118B"/>
    <w:rsid w:val="00444627"/>
    <w:rsid w:val="00446EA0"/>
    <w:rsid w:val="004B38A1"/>
    <w:rsid w:val="004C19EA"/>
    <w:rsid w:val="004D0508"/>
    <w:rsid w:val="004E57D9"/>
    <w:rsid w:val="004F413B"/>
    <w:rsid w:val="00511E0B"/>
    <w:rsid w:val="005508DB"/>
    <w:rsid w:val="005C7A05"/>
    <w:rsid w:val="005F3CE9"/>
    <w:rsid w:val="006053F8"/>
    <w:rsid w:val="00642A6B"/>
    <w:rsid w:val="006719B1"/>
    <w:rsid w:val="006838D7"/>
    <w:rsid w:val="00695683"/>
    <w:rsid w:val="006B0569"/>
    <w:rsid w:val="006B5994"/>
    <w:rsid w:val="006F3ED2"/>
    <w:rsid w:val="006F522B"/>
    <w:rsid w:val="00716104"/>
    <w:rsid w:val="00754C31"/>
    <w:rsid w:val="0076563F"/>
    <w:rsid w:val="00766DA3"/>
    <w:rsid w:val="00774681"/>
    <w:rsid w:val="0078326C"/>
    <w:rsid w:val="007925ED"/>
    <w:rsid w:val="007A16D1"/>
    <w:rsid w:val="007A2DF0"/>
    <w:rsid w:val="007A6C02"/>
    <w:rsid w:val="007A7E25"/>
    <w:rsid w:val="007F6343"/>
    <w:rsid w:val="00817E36"/>
    <w:rsid w:val="00856BA6"/>
    <w:rsid w:val="00884157"/>
    <w:rsid w:val="009109CC"/>
    <w:rsid w:val="00921787"/>
    <w:rsid w:val="00925858"/>
    <w:rsid w:val="00942CE0"/>
    <w:rsid w:val="00963C2E"/>
    <w:rsid w:val="00966381"/>
    <w:rsid w:val="00970076"/>
    <w:rsid w:val="009A6F06"/>
    <w:rsid w:val="009D399B"/>
    <w:rsid w:val="009D5833"/>
    <w:rsid w:val="009D7C0C"/>
    <w:rsid w:val="00A15D91"/>
    <w:rsid w:val="00A17669"/>
    <w:rsid w:val="00A35C31"/>
    <w:rsid w:val="00A41D08"/>
    <w:rsid w:val="00A64040"/>
    <w:rsid w:val="00AE47EA"/>
    <w:rsid w:val="00B5479A"/>
    <w:rsid w:val="00BA40A3"/>
    <w:rsid w:val="00BE3B0F"/>
    <w:rsid w:val="00BE5661"/>
    <w:rsid w:val="00CC3E3D"/>
    <w:rsid w:val="00CE47C2"/>
    <w:rsid w:val="00CF5DB5"/>
    <w:rsid w:val="00D11BF0"/>
    <w:rsid w:val="00D31D79"/>
    <w:rsid w:val="00DB7A96"/>
    <w:rsid w:val="00DD202F"/>
    <w:rsid w:val="00DE17E6"/>
    <w:rsid w:val="00DE1A8E"/>
    <w:rsid w:val="00DE40BC"/>
    <w:rsid w:val="00E02DD1"/>
    <w:rsid w:val="00E17031"/>
    <w:rsid w:val="00EB5FA8"/>
    <w:rsid w:val="00EC7C10"/>
    <w:rsid w:val="00F12D94"/>
    <w:rsid w:val="00F24947"/>
    <w:rsid w:val="00F4611E"/>
    <w:rsid w:val="00F57CF5"/>
    <w:rsid w:val="00F72F14"/>
    <w:rsid w:val="00F8335C"/>
    <w:rsid w:val="00F83D2E"/>
    <w:rsid w:val="00FB1353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  <w15:docId w15:val="{2A9904FE-5623-4B00-B70A-96303E42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D08"/>
    <w:pPr>
      <w:spacing w:after="0" w:line="240" w:lineRule="auto"/>
    </w:pPr>
    <w:rPr>
      <w:rFonts w:ascii="Arial" w:eastAsia="Times New Roman" w:hAnsi="Arial" w:cs="Arial"/>
      <w:kern w:val="96"/>
      <w:position w:val="6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D79"/>
    <w:rPr>
      <w:rFonts w:ascii="Tahoma" w:hAnsi="Tahoma" w:cs="Tahom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1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D79"/>
  </w:style>
  <w:style w:type="paragraph" w:styleId="Stopka">
    <w:name w:val="footer"/>
    <w:basedOn w:val="Normalny"/>
    <w:link w:val="StopkaZnak"/>
    <w:uiPriority w:val="99"/>
    <w:unhideWhenUsed/>
    <w:rsid w:val="00D31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D79"/>
  </w:style>
  <w:style w:type="paragraph" w:styleId="NormalnyWeb">
    <w:name w:val="Normal (Web)"/>
    <w:basedOn w:val="Normalny"/>
    <w:unhideWhenUsed/>
    <w:rsid w:val="006053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53F8"/>
    <w:rPr>
      <w:b/>
      <w:bCs/>
    </w:rPr>
  </w:style>
  <w:style w:type="paragraph" w:customStyle="1" w:styleId="ZnakZnak">
    <w:name w:val="Znak Znak"/>
    <w:basedOn w:val="Normalny"/>
    <w:rsid w:val="00A41D08"/>
    <w:rPr>
      <w:kern w:val="0"/>
      <w:positio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4157"/>
    <w:pPr>
      <w:ind w:left="720"/>
      <w:contextualSpacing/>
      <w:jc w:val="both"/>
    </w:pPr>
    <w:rPr>
      <w:rFonts w:ascii="Times New Roman" w:eastAsia="Calibri" w:hAnsi="Times New Roman" w:cs="Times New Roman"/>
      <w:kern w:val="0"/>
      <w:position w:val="0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884157"/>
    <w:pPr>
      <w:spacing w:after="120" w:line="480" w:lineRule="auto"/>
      <w:ind w:left="283"/>
    </w:pPr>
    <w:rPr>
      <w:rFonts w:ascii="Times New Roman" w:hAnsi="Times New Roman" w:cs="Times New Roman"/>
      <w:kern w:val="0"/>
      <w:position w:val="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41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8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risk.szkody@vigekspert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broker@interbroke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bogusz@pswb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risk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881-B13D-4767-993B-8A6EDCDA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2018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Bogusz</cp:lastModifiedBy>
  <cp:revision>7</cp:revision>
  <cp:lastPrinted>2014-09-25T08:08:00Z</cp:lastPrinted>
  <dcterms:created xsi:type="dcterms:W3CDTF">2014-09-25T13:31:00Z</dcterms:created>
  <dcterms:modified xsi:type="dcterms:W3CDTF">2016-10-12T11:36:00Z</dcterms:modified>
</cp:coreProperties>
</file>